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1A1" w14:textId="7C1A4E0D" w:rsidR="003C7F2F" w:rsidRPr="006160A2" w:rsidRDefault="00922DD2" w:rsidP="003C7F2F">
      <w:pPr>
        <w:spacing w:after="480"/>
        <w:rPr>
          <w:color w:val="FF0000"/>
        </w:rPr>
      </w:pPr>
      <w:r>
        <w:rPr>
          <w:noProof/>
        </w:rPr>
        <w:drawing>
          <wp:inline distT="0" distB="0" distL="0" distR="0" wp14:anchorId="60E0BA6E" wp14:editId="38FB211C">
            <wp:extent cx="2443163" cy="705397"/>
            <wp:effectExtent l="0" t="0" r="0" b="0"/>
            <wp:docPr id="8" name="Picture 8"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3163" cy="705397"/>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6160A2" w:rsidRPr="006160A2" w14:paraId="719D56FE" w14:textId="77777777" w:rsidTr="008C351D">
        <w:trPr>
          <w:tblHeader/>
        </w:trPr>
        <w:tc>
          <w:tcPr>
            <w:tcW w:w="3456" w:type="dxa"/>
            <w:tcBorders>
              <w:bottom w:val="single" w:sz="18" w:space="0" w:color="auto"/>
            </w:tcBorders>
          </w:tcPr>
          <w:p w14:paraId="5B627C75" w14:textId="77777777" w:rsidR="003C7F2F" w:rsidRPr="00DA65B5" w:rsidRDefault="003C7F2F" w:rsidP="008C351D">
            <w:pPr>
              <w:pStyle w:val="Heading1"/>
              <w:spacing w:after="240"/>
            </w:pPr>
            <w:r w:rsidRPr="00DA65B5">
              <w:t>Report for:</w:t>
            </w:r>
          </w:p>
        </w:tc>
        <w:tc>
          <w:tcPr>
            <w:tcW w:w="5054" w:type="dxa"/>
            <w:tcBorders>
              <w:bottom w:val="single" w:sz="18" w:space="0" w:color="auto"/>
            </w:tcBorders>
          </w:tcPr>
          <w:p w14:paraId="6C4D6EB7" w14:textId="77777777" w:rsidR="003C7F2F" w:rsidRPr="00DA65B5" w:rsidRDefault="003C7F2F" w:rsidP="008C351D">
            <w:pPr>
              <w:pStyle w:val="Heading1"/>
              <w:rPr>
                <w:szCs w:val="24"/>
              </w:rPr>
            </w:pPr>
            <w:r w:rsidRPr="00DA65B5">
              <w:t>Cabinet</w:t>
            </w:r>
          </w:p>
        </w:tc>
      </w:tr>
      <w:tr w:rsidR="006160A2" w:rsidRPr="006160A2" w14:paraId="795E4B25" w14:textId="77777777" w:rsidTr="008C351D">
        <w:tc>
          <w:tcPr>
            <w:tcW w:w="3456" w:type="dxa"/>
            <w:tcBorders>
              <w:top w:val="single" w:sz="18" w:space="0" w:color="auto"/>
            </w:tcBorders>
          </w:tcPr>
          <w:p w14:paraId="3C1F397F" w14:textId="77777777" w:rsidR="003C7F2F" w:rsidRPr="00DA65B5" w:rsidRDefault="003C7F2F" w:rsidP="008C351D">
            <w:pPr>
              <w:pStyle w:val="Infotext"/>
              <w:spacing w:after="240"/>
              <w:rPr>
                <w:rFonts w:ascii="Arial Black" w:hAnsi="Arial Black" w:cs="Arial"/>
              </w:rPr>
            </w:pPr>
            <w:r w:rsidRPr="00DA65B5">
              <w:rPr>
                <w:rFonts w:ascii="Arial Black" w:hAnsi="Arial Black"/>
              </w:rPr>
              <w:t>Date of Meeting:</w:t>
            </w:r>
          </w:p>
        </w:tc>
        <w:tc>
          <w:tcPr>
            <w:tcW w:w="5054" w:type="dxa"/>
            <w:tcBorders>
              <w:top w:val="single" w:sz="18" w:space="0" w:color="auto"/>
            </w:tcBorders>
          </w:tcPr>
          <w:p w14:paraId="14ED9448" w14:textId="3C6E3426" w:rsidR="003C7F2F" w:rsidRPr="00DA65B5" w:rsidRDefault="00DA65B5" w:rsidP="003C7F2F">
            <w:pPr>
              <w:spacing w:line="360" w:lineRule="auto"/>
              <w:rPr>
                <w:rFonts w:cs="Arial"/>
                <w:szCs w:val="24"/>
              </w:rPr>
            </w:pPr>
            <w:r>
              <w:rPr>
                <w:rFonts w:cs="Arial"/>
                <w:szCs w:val="24"/>
              </w:rPr>
              <w:t>27 July 2023</w:t>
            </w:r>
          </w:p>
        </w:tc>
      </w:tr>
      <w:tr w:rsidR="006160A2" w:rsidRPr="006160A2" w14:paraId="2BAFBD63" w14:textId="77777777" w:rsidTr="008C351D">
        <w:tc>
          <w:tcPr>
            <w:tcW w:w="3456" w:type="dxa"/>
          </w:tcPr>
          <w:p w14:paraId="3175C51A" w14:textId="77777777" w:rsidR="003C7F2F" w:rsidRPr="00DA65B5" w:rsidRDefault="003C7F2F" w:rsidP="003C7F2F">
            <w:pPr>
              <w:pStyle w:val="Infotext"/>
              <w:spacing w:after="240"/>
              <w:rPr>
                <w:rFonts w:ascii="Arial Black" w:hAnsi="Arial Black"/>
              </w:rPr>
            </w:pPr>
            <w:r w:rsidRPr="00DA65B5">
              <w:rPr>
                <w:rFonts w:ascii="Arial Black" w:hAnsi="Arial Black" w:cs="Arial"/>
              </w:rPr>
              <w:t>Subject:</w:t>
            </w:r>
          </w:p>
        </w:tc>
        <w:tc>
          <w:tcPr>
            <w:tcW w:w="5054" w:type="dxa"/>
          </w:tcPr>
          <w:p w14:paraId="6D0A79EC" w14:textId="07503B83" w:rsidR="003C7F2F" w:rsidRPr="00DA65B5" w:rsidRDefault="003C7F2F" w:rsidP="003C7F2F">
            <w:pPr>
              <w:rPr>
                <w:rFonts w:cs="Arial"/>
                <w:szCs w:val="24"/>
              </w:rPr>
            </w:pPr>
            <w:r w:rsidRPr="00DA65B5">
              <w:rPr>
                <w:rFonts w:cs="Arial"/>
                <w:szCs w:val="24"/>
              </w:rPr>
              <w:t xml:space="preserve">Revenue and Capital </w:t>
            </w:r>
            <w:r w:rsidR="00343D58" w:rsidRPr="00DA65B5">
              <w:rPr>
                <w:rFonts w:cs="Arial"/>
                <w:szCs w:val="24"/>
              </w:rPr>
              <w:t>Budget</w:t>
            </w:r>
            <w:r w:rsidR="006160A2" w:rsidRPr="00DA65B5">
              <w:rPr>
                <w:rFonts w:cs="Arial"/>
                <w:szCs w:val="24"/>
              </w:rPr>
              <w:t xml:space="preserve"> 2022-23 – Final Outturn</w:t>
            </w:r>
          </w:p>
          <w:p w14:paraId="0E173743" w14:textId="77777777" w:rsidR="003C7F2F" w:rsidRPr="00DA65B5" w:rsidRDefault="003C7F2F" w:rsidP="003C7F2F">
            <w:pPr>
              <w:rPr>
                <w:rFonts w:cs="Arial"/>
                <w:szCs w:val="24"/>
              </w:rPr>
            </w:pPr>
          </w:p>
        </w:tc>
      </w:tr>
      <w:tr w:rsidR="006160A2" w:rsidRPr="006160A2" w14:paraId="6D9F09DB" w14:textId="77777777" w:rsidTr="008C351D">
        <w:tc>
          <w:tcPr>
            <w:tcW w:w="3456" w:type="dxa"/>
          </w:tcPr>
          <w:p w14:paraId="100153B6" w14:textId="77777777" w:rsidR="003C7F2F" w:rsidRPr="00DA65B5" w:rsidRDefault="003C7F2F" w:rsidP="003C7F2F">
            <w:pPr>
              <w:pStyle w:val="Infotext"/>
              <w:spacing w:after="240"/>
              <w:rPr>
                <w:rFonts w:ascii="Arial Black" w:hAnsi="Arial Black" w:cs="Arial"/>
              </w:rPr>
            </w:pPr>
            <w:r w:rsidRPr="00DA65B5">
              <w:rPr>
                <w:rFonts w:ascii="Arial Black" w:hAnsi="Arial Black" w:cs="Arial"/>
              </w:rPr>
              <w:t>Key Decision:</w:t>
            </w:r>
          </w:p>
        </w:tc>
        <w:tc>
          <w:tcPr>
            <w:tcW w:w="5054" w:type="dxa"/>
          </w:tcPr>
          <w:p w14:paraId="1DF5314E" w14:textId="384DFFBB" w:rsidR="003C7F2F" w:rsidRPr="00DA65B5" w:rsidRDefault="006160A2" w:rsidP="003C7F2F">
            <w:pPr>
              <w:pStyle w:val="Infotext"/>
              <w:rPr>
                <w:rFonts w:cs="Arial"/>
                <w:sz w:val="24"/>
                <w:szCs w:val="24"/>
              </w:rPr>
            </w:pPr>
            <w:r w:rsidRPr="00DA65B5">
              <w:rPr>
                <w:rFonts w:cs="Arial"/>
                <w:sz w:val="24"/>
                <w:szCs w:val="24"/>
              </w:rPr>
              <w:t>Yes</w:t>
            </w:r>
          </w:p>
          <w:p w14:paraId="1AACAE15" w14:textId="77777777" w:rsidR="003C7F2F" w:rsidRPr="00DA65B5" w:rsidRDefault="003C7F2F" w:rsidP="003C7F2F">
            <w:pPr>
              <w:pStyle w:val="Infotext"/>
              <w:rPr>
                <w:rFonts w:cs="Arial"/>
                <w:szCs w:val="24"/>
              </w:rPr>
            </w:pPr>
          </w:p>
        </w:tc>
      </w:tr>
      <w:tr w:rsidR="006160A2" w:rsidRPr="006160A2" w14:paraId="47289D10" w14:textId="77777777" w:rsidTr="008C351D">
        <w:tc>
          <w:tcPr>
            <w:tcW w:w="3456" w:type="dxa"/>
          </w:tcPr>
          <w:p w14:paraId="094A1989" w14:textId="77777777" w:rsidR="003C7F2F" w:rsidRPr="00DA65B5" w:rsidRDefault="003C7F2F" w:rsidP="003C7F2F">
            <w:pPr>
              <w:pStyle w:val="Infotext"/>
              <w:spacing w:after="240"/>
              <w:rPr>
                <w:rFonts w:ascii="Arial Black" w:hAnsi="Arial Black" w:cs="Arial"/>
              </w:rPr>
            </w:pPr>
            <w:r w:rsidRPr="00DA65B5">
              <w:rPr>
                <w:rFonts w:ascii="Arial Black" w:hAnsi="Arial Black" w:cs="Arial"/>
              </w:rPr>
              <w:t>Responsible Officer:</w:t>
            </w:r>
          </w:p>
        </w:tc>
        <w:tc>
          <w:tcPr>
            <w:tcW w:w="5054" w:type="dxa"/>
          </w:tcPr>
          <w:p w14:paraId="415961F0" w14:textId="7F6FAC7D" w:rsidR="003C7F2F" w:rsidRPr="00DA65B5" w:rsidRDefault="003C7F2F" w:rsidP="003C7F2F">
            <w:pPr>
              <w:pStyle w:val="Infotext"/>
              <w:rPr>
                <w:rFonts w:cs="Arial"/>
                <w:sz w:val="24"/>
                <w:szCs w:val="24"/>
              </w:rPr>
            </w:pPr>
            <w:r w:rsidRPr="00DA65B5">
              <w:rPr>
                <w:rFonts w:cs="Arial"/>
                <w:sz w:val="24"/>
                <w:szCs w:val="24"/>
              </w:rPr>
              <w:t>Dawn Calvert - Director of Finance and Assurance</w:t>
            </w:r>
          </w:p>
          <w:p w14:paraId="0E78B0F0" w14:textId="77777777" w:rsidR="003C7F2F" w:rsidRPr="00DA65B5" w:rsidRDefault="003C7F2F" w:rsidP="003C7F2F">
            <w:pPr>
              <w:pStyle w:val="Infotext"/>
              <w:rPr>
                <w:rFonts w:cs="Arial"/>
                <w:sz w:val="24"/>
                <w:szCs w:val="24"/>
              </w:rPr>
            </w:pPr>
          </w:p>
        </w:tc>
      </w:tr>
      <w:tr w:rsidR="006160A2" w:rsidRPr="006160A2" w14:paraId="7D12C529" w14:textId="77777777" w:rsidTr="008C351D">
        <w:tc>
          <w:tcPr>
            <w:tcW w:w="3456" w:type="dxa"/>
          </w:tcPr>
          <w:p w14:paraId="7C1E394A" w14:textId="77777777" w:rsidR="003C7F2F" w:rsidRPr="00DA65B5" w:rsidRDefault="003C7F2F" w:rsidP="003C7F2F">
            <w:pPr>
              <w:pStyle w:val="Infotext"/>
              <w:spacing w:after="240"/>
              <w:rPr>
                <w:rFonts w:ascii="Arial Black" w:hAnsi="Arial Black"/>
              </w:rPr>
            </w:pPr>
            <w:r w:rsidRPr="00DA65B5">
              <w:rPr>
                <w:rFonts w:ascii="Arial Black" w:hAnsi="Arial Black"/>
              </w:rPr>
              <w:t>Portfolio Holder:</w:t>
            </w:r>
          </w:p>
        </w:tc>
        <w:tc>
          <w:tcPr>
            <w:tcW w:w="5054" w:type="dxa"/>
          </w:tcPr>
          <w:p w14:paraId="5ED3777C" w14:textId="00BEC6F7" w:rsidR="003C7F2F" w:rsidRPr="00DA65B5" w:rsidRDefault="003C7F2F" w:rsidP="003C7F2F">
            <w:pPr>
              <w:pStyle w:val="Infotext"/>
              <w:jc w:val="both"/>
              <w:rPr>
                <w:rFonts w:cs="Arial"/>
                <w:sz w:val="24"/>
                <w:szCs w:val="24"/>
              </w:rPr>
            </w:pPr>
            <w:r w:rsidRPr="00DA65B5">
              <w:rPr>
                <w:rFonts w:cs="Arial"/>
                <w:sz w:val="24"/>
                <w:szCs w:val="24"/>
              </w:rPr>
              <w:t>Councillor David Ashton - Portfolio Holder for Finance and Human Resources</w:t>
            </w:r>
          </w:p>
          <w:p w14:paraId="4E75177C" w14:textId="005F307A" w:rsidR="003C7F2F" w:rsidRPr="00DA65B5" w:rsidRDefault="003C7F2F" w:rsidP="003C7F2F">
            <w:pPr>
              <w:pStyle w:val="Infotext"/>
              <w:rPr>
                <w:rFonts w:cs="Arial"/>
                <w:sz w:val="24"/>
                <w:szCs w:val="24"/>
              </w:rPr>
            </w:pPr>
          </w:p>
        </w:tc>
      </w:tr>
      <w:tr w:rsidR="00ED24A9" w:rsidRPr="006160A2" w14:paraId="2A25BD0E" w14:textId="77777777" w:rsidTr="008C351D">
        <w:tc>
          <w:tcPr>
            <w:tcW w:w="3456" w:type="dxa"/>
          </w:tcPr>
          <w:p w14:paraId="5422C349" w14:textId="77777777" w:rsidR="00ED24A9" w:rsidRPr="00DA65B5" w:rsidRDefault="00ED24A9" w:rsidP="00ED24A9">
            <w:pPr>
              <w:pStyle w:val="Infotext"/>
              <w:spacing w:after="240"/>
              <w:rPr>
                <w:rFonts w:ascii="Arial Black" w:hAnsi="Arial Black"/>
              </w:rPr>
            </w:pPr>
            <w:r w:rsidRPr="00DA65B5">
              <w:rPr>
                <w:rFonts w:ascii="Arial Black" w:hAnsi="Arial Black"/>
              </w:rPr>
              <w:t>Exempt:</w:t>
            </w:r>
          </w:p>
        </w:tc>
        <w:tc>
          <w:tcPr>
            <w:tcW w:w="5054" w:type="dxa"/>
          </w:tcPr>
          <w:p w14:paraId="10BF3985" w14:textId="3C6065AE" w:rsidR="00ED24A9" w:rsidRPr="005E3A10" w:rsidRDefault="00ED24A9" w:rsidP="00ED24A9">
            <w:pPr>
              <w:pStyle w:val="Infotext"/>
              <w:jc w:val="both"/>
              <w:rPr>
                <w:rFonts w:cs="Arial"/>
                <w:sz w:val="24"/>
                <w:szCs w:val="24"/>
              </w:rPr>
            </w:pPr>
            <w:r>
              <w:rPr>
                <w:rFonts w:cs="Arial"/>
                <w:sz w:val="24"/>
                <w:szCs w:val="24"/>
              </w:rPr>
              <w:t xml:space="preserve">No </w:t>
            </w:r>
            <w:r>
              <w:rPr>
                <w:rFonts w:cs="Arial"/>
                <w:bCs/>
                <w:sz w:val="24"/>
                <w:szCs w:val="24"/>
              </w:rPr>
              <w:t xml:space="preserve">except for </w:t>
            </w:r>
            <w:r w:rsidR="000153B2">
              <w:rPr>
                <w:rFonts w:cs="Arial"/>
                <w:bCs/>
                <w:sz w:val="24"/>
                <w:szCs w:val="24"/>
              </w:rPr>
              <w:t>Appendi</w:t>
            </w:r>
            <w:r w:rsidR="00EB579A">
              <w:rPr>
                <w:rFonts w:cs="Arial"/>
                <w:bCs/>
                <w:sz w:val="24"/>
                <w:szCs w:val="24"/>
              </w:rPr>
              <w:t>x</w:t>
            </w:r>
            <w:r w:rsidR="000153B2">
              <w:rPr>
                <w:rFonts w:cs="Arial"/>
                <w:bCs/>
                <w:sz w:val="24"/>
                <w:szCs w:val="24"/>
              </w:rPr>
              <w:t xml:space="preserve"> </w:t>
            </w:r>
            <w:r w:rsidR="00F75654">
              <w:rPr>
                <w:rFonts w:cs="Arial"/>
                <w:bCs/>
                <w:sz w:val="24"/>
                <w:szCs w:val="24"/>
              </w:rPr>
              <w:t xml:space="preserve">5 </w:t>
            </w:r>
            <w:r w:rsidR="00F75654" w:rsidRPr="00675F21">
              <w:rPr>
                <w:rFonts w:cs="Arial"/>
                <w:bCs/>
                <w:sz w:val="24"/>
                <w:szCs w:val="24"/>
              </w:rPr>
              <w:t>which</w:t>
            </w:r>
            <w:r w:rsidRPr="00675F21">
              <w:rPr>
                <w:rFonts w:cs="Arial"/>
                <w:bCs/>
                <w:sz w:val="24"/>
                <w:szCs w:val="24"/>
              </w:rPr>
              <w:t xml:space="preserve"> </w:t>
            </w:r>
            <w:r w:rsidR="00922DD2">
              <w:rPr>
                <w:rFonts w:cs="Arial"/>
                <w:bCs/>
                <w:sz w:val="24"/>
                <w:szCs w:val="24"/>
              </w:rPr>
              <w:t xml:space="preserve">is </w:t>
            </w:r>
            <w:r w:rsidR="00922DD2" w:rsidRPr="00675F21">
              <w:rPr>
                <w:rFonts w:cs="Arial"/>
                <w:bCs/>
                <w:sz w:val="24"/>
                <w:szCs w:val="24"/>
              </w:rPr>
              <w:t>exempt</w:t>
            </w:r>
            <w:r w:rsidRPr="00675F21">
              <w:rPr>
                <w:rFonts w:cs="Arial"/>
                <w:bCs/>
                <w:sz w:val="24"/>
                <w:szCs w:val="24"/>
              </w:rPr>
              <w:t xml:space="preserve"> on the grounds that </w:t>
            </w:r>
            <w:r w:rsidR="007C255E">
              <w:rPr>
                <w:rFonts w:cs="Arial"/>
                <w:bCs/>
                <w:sz w:val="24"/>
                <w:szCs w:val="24"/>
              </w:rPr>
              <w:t>it</w:t>
            </w:r>
            <w:r w:rsidRPr="00675F21">
              <w:rPr>
                <w:rFonts w:cs="Arial"/>
                <w:bCs/>
                <w:sz w:val="24"/>
                <w:szCs w:val="24"/>
              </w:rPr>
              <w:t xml:space="preserve"> contain</w:t>
            </w:r>
            <w:r w:rsidR="007C255E">
              <w:rPr>
                <w:rFonts w:cs="Arial"/>
                <w:bCs/>
                <w:sz w:val="24"/>
                <w:szCs w:val="24"/>
              </w:rPr>
              <w:t>s</w:t>
            </w:r>
            <w:r w:rsidRPr="00675F21">
              <w:rPr>
                <w:rFonts w:cs="Arial"/>
                <w:bCs/>
                <w:sz w:val="24"/>
                <w:szCs w:val="24"/>
              </w:rPr>
              <w:t xml:space="preserve"> “exempt information” under paragraph 3 of Part I of Schedule 12A to the Local Government Act 1972 (as amended) in that </w:t>
            </w:r>
            <w:r w:rsidR="00922DD2">
              <w:rPr>
                <w:rFonts w:cs="Arial"/>
                <w:bCs/>
                <w:sz w:val="24"/>
                <w:szCs w:val="24"/>
              </w:rPr>
              <w:t>it</w:t>
            </w:r>
            <w:r w:rsidRPr="00675F21">
              <w:rPr>
                <w:rFonts w:cs="Arial"/>
                <w:bCs/>
                <w:sz w:val="24"/>
                <w:szCs w:val="24"/>
              </w:rPr>
              <w:t xml:space="preserve"> contain</w:t>
            </w:r>
            <w:r w:rsidR="00922DD2">
              <w:rPr>
                <w:rFonts w:cs="Arial"/>
                <w:bCs/>
                <w:sz w:val="24"/>
                <w:szCs w:val="24"/>
              </w:rPr>
              <w:t>s</w:t>
            </w:r>
            <w:r w:rsidRPr="00675F21">
              <w:rPr>
                <w:rFonts w:cs="Arial"/>
                <w:bCs/>
                <w:sz w:val="24"/>
                <w:szCs w:val="24"/>
              </w:rPr>
              <w:t xml:space="preserve"> information relating to the financial or business affairs of any </w:t>
            </w:r>
            <w:proofErr w:type="gramStart"/>
            <w:r w:rsidRPr="00675F21">
              <w:rPr>
                <w:rFonts w:cs="Arial"/>
                <w:bCs/>
                <w:sz w:val="24"/>
                <w:szCs w:val="24"/>
              </w:rPr>
              <w:t>particular person</w:t>
            </w:r>
            <w:proofErr w:type="gramEnd"/>
            <w:r w:rsidRPr="00675F21">
              <w:rPr>
                <w:rFonts w:cs="Arial"/>
                <w:bCs/>
                <w:sz w:val="24"/>
                <w:szCs w:val="24"/>
              </w:rPr>
              <w:t xml:space="preserve"> (including the authority holding that information</w:t>
            </w:r>
            <w:r w:rsidR="000153B2">
              <w:rPr>
                <w:rFonts w:cs="Arial"/>
                <w:bCs/>
                <w:sz w:val="24"/>
                <w:szCs w:val="24"/>
              </w:rPr>
              <w:t>).</w:t>
            </w:r>
          </w:p>
          <w:p w14:paraId="016F6942" w14:textId="77777777" w:rsidR="00ED24A9" w:rsidRPr="00DA65B5" w:rsidRDefault="00ED24A9" w:rsidP="00ED24A9">
            <w:pPr>
              <w:pStyle w:val="Infotext"/>
              <w:rPr>
                <w:rFonts w:cs="Arial"/>
                <w:sz w:val="24"/>
                <w:szCs w:val="24"/>
              </w:rPr>
            </w:pPr>
          </w:p>
        </w:tc>
      </w:tr>
      <w:tr w:rsidR="006160A2" w:rsidRPr="006160A2" w14:paraId="20FCCAC6" w14:textId="77777777" w:rsidTr="008C351D">
        <w:tc>
          <w:tcPr>
            <w:tcW w:w="3456" w:type="dxa"/>
          </w:tcPr>
          <w:p w14:paraId="04D27EC8" w14:textId="77777777" w:rsidR="003C7F2F" w:rsidRPr="00DA65B5" w:rsidRDefault="003C7F2F" w:rsidP="003C7F2F">
            <w:pPr>
              <w:pStyle w:val="Infotext"/>
              <w:spacing w:after="240"/>
              <w:rPr>
                <w:rFonts w:ascii="Arial Black" w:hAnsi="Arial Black"/>
              </w:rPr>
            </w:pPr>
            <w:r w:rsidRPr="00DA65B5">
              <w:rPr>
                <w:rFonts w:ascii="Arial Black" w:hAnsi="Arial Black"/>
              </w:rPr>
              <w:t>Decision subject to Call-in:</w:t>
            </w:r>
          </w:p>
        </w:tc>
        <w:tc>
          <w:tcPr>
            <w:tcW w:w="5054" w:type="dxa"/>
          </w:tcPr>
          <w:p w14:paraId="34B50E92" w14:textId="05B8AEC2" w:rsidR="003C7F2F" w:rsidRPr="00DA65B5" w:rsidRDefault="003C7F2F" w:rsidP="003C7F2F">
            <w:pPr>
              <w:pStyle w:val="Infotext"/>
              <w:rPr>
                <w:rFonts w:cs="Arial"/>
                <w:szCs w:val="24"/>
              </w:rPr>
            </w:pPr>
            <w:r w:rsidRPr="00DA65B5">
              <w:rPr>
                <w:rFonts w:cs="Arial"/>
                <w:sz w:val="24"/>
                <w:szCs w:val="24"/>
              </w:rPr>
              <w:t xml:space="preserve">Yes </w:t>
            </w:r>
          </w:p>
        </w:tc>
      </w:tr>
      <w:tr w:rsidR="006160A2" w:rsidRPr="006160A2" w14:paraId="4F30CCD1" w14:textId="77777777" w:rsidTr="008C351D">
        <w:tc>
          <w:tcPr>
            <w:tcW w:w="3456" w:type="dxa"/>
          </w:tcPr>
          <w:p w14:paraId="1CFBD3F4" w14:textId="77777777" w:rsidR="003C7F2F" w:rsidRPr="00DA65B5" w:rsidRDefault="003C7F2F" w:rsidP="003C7F2F">
            <w:pPr>
              <w:pStyle w:val="Infotext"/>
              <w:spacing w:after="240"/>
              <w:rPr>
                <w:rFonts w:ascii="Arial Black" w:hAnsi="Arial Black" w:cs="Arial"/>
              </w:rPr>
            </w:pPr>
            <w:r w:rsidRPr="00DA65B5">
              <w:rPr>
                <w:rFonts w:ascii="Arial Black" w:hAnsi="Arial Black" w:cs="Arial"/>
              </w:rPr>
              <w:t>Wards affected:</w:t>
            </w:r>
          </w:p>
        </w:tc>
        <w:tc>
          <w:tcPr>
            <w:tcW w:w="5054" w:type="dxa"/>
          </w:tcPr>
          <w:p w14:paraId="66F48F78" w14:textId="03B15E7F" w:rsidR="003C7F2F" w:rsidRPr="00DA65B5" w:rsidRDefault="003C7F2F" w:rsidP="003C7F2F">
            <w:pPr>
              <w:rPr>
                <w:rFonts w:cs="Arial"/>
                <w:b/>
                <w:szCs w:val="24"/>
              </w:rPr>
            </w:pPr>
            <w:r w:rsidRPr="00DA65B5">
              <w:rPr>
                <w:rFonts w:cs="Arial"/>
                <w:szCs w:val="24"/>
              </w:rPr>
              <w:t>All</w:t>
            </w:r>
          </w:p>
        </w:tc>
      </w:tr>
      <w:tr w:rsidR="00D25AD6" w:rsidRPr="00D25AD6" w14:paraId="5747A94D" w14:textId="77777777" w:rsidTr="008C351D">
        <w:tc>
          <w:tcPr>
            <w:tcW w:w="3456" w:type="dxa"/>
          </w:tcPr>
          <w:p w14:paraId="1E2E4465" w14:textId="77777777" w:rsidR="003C7F2F" w:rsidRPr="00DA65B5" w:rsidRDefault="003C7F2F" w:rsidP="003C7F2F">
            <w:pPr>
              <w:pStyle w:val="Infotext"/>
              <w:spacing w:after="240"/>
              <w:rPr>
                <w:rFonts w:ascii="Arial Black" w:hAnsi="Arial Black" w:cs="Arial"/>
              </w:rPr>
            </w:pPr>
            <w:r w:rsidRPr="00DA65B5">
              <w:rPr>
                <w:rFonts w:ascii="Arial Black" w:hAnsi="Arial Black" w:cs="Arial"/>
              </w:rPr>
              <w:t>Enclosures:</w:t>
            </w:r>
          </w:p>
        </w:tc>
        <w:tc>
          <w:tcPr>
            <w:tcW w:w="5054" w:type="dxa"/>
          </w:tcPr>
          <w:p w14:paraId="4338303E" w14:textId="1FCEFE09" w:rsidR="003C7F2F" w:rsidRPr="00D25AD6" w:rsidRDefault="003C7F2F" w:rsidP="003C7F2F">
            <w:pPr>
              <w:rPr>
                <w:rFonts w:cs="Arial"/>
                <w:szCs w:val="24"/>
              </w:rPr>
            </w:pPr>
            <w:r w:rsidRPr="00D25AD6">
              <w:rPr>
                <w:rFonts w:cs="Arial"/>
                <w:szCs w:val="24"/>
              </w:rPr>
              <w:t>Appendix 1 – Summary of Grants 2022-23</w:t>
            </w:r>
          </w:p>
          <w:p w14:paraId="62F47429" w14:textId="47BC3335" w:rsidR="001B4F9E" w:rsidRPr="00D25AD6" w:rsidRDefault="001B4F9E" w:rsidP="003C7F2F">
            <w:pPr>
              <w:rPr>
                <w:rFonts w:cs="Arial"/>
                <w:szCs w:val="24"/>
              </w:rPr>
            </w:pPr>
            <w:r w:rsidRPr="00D25AD6">
              <w:rPr>
                <w:rFonts w:cs="Arial"/>
                <w:szCs w:val="24"/>
              </w:rPr>
              <w:t>Appendix 2 – Summary of</w:t>
            </w:r>
            <w:r w:rsidR="00567B16" w:rsidRPr="00D25AD6">
              <w:rPr>
                <w:rFonts w:cs="Arial"/>
                <w:szCs w:val="24"/>
              </w:rPr>
              <w:t xml:space="preserve"> Revenue</w:t>
            </w:r>
            <w:r w:rsidRPr="00D25AD6">
              <w:rPr>
                <w:rFonts w:cs="Arial"/>
                <w:szCs w:val="24"/>
              </w:rPr>
              <w:t xml:space="preserve"> Carry Forwards 2022-23</w:t>
            </w:r>
          </w:p>
          <w:p w14:paraId="5D9F82C1" w14:textId="263C0EC6" w:rsidR="003C7F2F" w:rsidRPr="00D25AD6" w:rsidRDefault="003C7F2F" w:rsidP="003C7F2F">
            <w:pPr>
              <w:pStyle w:val="Infotext"/>
              <w:rPr>
                <w:rFonts w:cs="Arial"/>
                <w:sz w:val="24"/>
                <w:szCs w:val="24"/>
              </w:rPr>
            </w:pPr>
            <w:r w:rsidRPr="00D25AD6">
              <w:rPr>
                <w:rFonts w:cs="Arial"/>
                <w:sz w:val="24"/>
                <w:szCs w:val="24"/>
              </w:rPr>
              <w:t xml:space="preserve">Appendix </w:t>
            </w:r>
            <w:r w:rsidR="001B4F9E" w:rsidRPr="00D25AD6">
              <w:rPr>
                <w:rFonts w:cs="Arial"/>
                <w:sz w:val="24"/>
                <w:szCs w:val="24"/>
              </w:rPr>
              <w:t>3</w:t>
            </w:r>
            <w:r w:rsidRPr="00D25AD6">
              <w:rPr>
                <w:rFonts w:cs="Arial"/>
                <w:sz w:val="24"/>
                <w:szCs w:val="24"/>
              </w:rPr>
              <w:t xml:space="preserve"> – Capital Programme</w:t>
            </w:r>
            <w:r w:rsidRPr="00D25AD6">
              <w:rPr>
                <w:rFonts w:cs="Arial"/>
                <w:szCs w:val="24"/>
              </w:rPr>
              <w:t xml:space="preserve"> </w:t>
            </w:r>
            <w:r w:rsidRPr="00D25AD6">
              <w:rPr>
                <w:rFonts w:cs="Arial"/>
                <w:sz w:val="24"/>
                <w:szCs w:val="24"/>
              </w:rPr>
              <w:t>2022-23</w:t>
            </w:r>
          </w:p>
          <w:p w14:paraId="4B6803D9" w14:textId="75626371" w:rsidR="003C7F2F" w:rsidRDefault="003C7F2F" w:rsidP="003C7F2F">
            <w:pPr>
              <w:pStyle w:val="Infotext"/>
              <w:rPr>
                <w:rFonts w:cs="Arial"/>
                <w:sz w:val="24"/>
                <w:szCs w:val="24"/>
              </w:rPr>
            </w:pPr>
            <w:r w:rsidRPr="00D25AD6">
              <w:rPr>
                <w:rFonts w:cs="Arial"/>
                <w:sz w:val="24"/>
                <w:szCs w:val="24"/>
              </w:rPr>
              <w:t xml:space="preserve">Appendix </w:t>
            </w:r>
            <w:r w:rsidR="001B4F9E" w:rsidRPr="00D25AD6">
              <w:rPr>
                <w:rFonts w:cs="Arial"/>
                <w:sz w:val="24"/>
                <w:szCs w:val="24"/>
              </w:rPr>
              <w:t>4</w:t>
            </w:r>
            <w:r w:rsidRPr="00D25AD6">
              <w:rPr>
                <w:rFonts w:cs="Arial"/>
                <w:sz w:val="24"/>
                <w:szCs w:val="24"/>
              </w:rPr>
              <w:t xml:space="preserve"> – Trading Company</w:t>
            </w:r>
            <w:r w:rsidR="00567B16" w:rsidRPr="00D25AD6">
              <w:rPr>
                <w:rFonts w:cs="Arial"/>
                <w:sz w:val="24"/>
                <w:szCs w:val="24"/>
              </w:rPr>
              <w:t xml:space="preserve"> Update</w:t>
            </w:r>
            <w:r w:rsidRPr="00D25AD6">
              <w:rPr>
                <w:rFonts w:cs="Arial"/>
                <w:sz w:val="24"/>
                <w:szCs w:val="24"/>
              </w:rPr>
              <w:t xml:space="preserve"> 2022-23</w:t>
            </w:r>
          </w:p>
          <w:p w14:paraId="3001FCB0" w14:textId="0DA423B1" w:rsidR="003C7F2F" w:rsidRPr="00D25AD6" w:rsidRDefault="00EB579A" w:rsidP="00EB579A">
            <w:pPr>
              <w:pStyle w:val="Infotext"/>
              <w:rPr>
                <w:sz w:val="24"/>
                <w:szCs w:val="24"/>
              </w:rPr>
            </w:pPr>
            <w:r>
              <w:rPr>
                <w:rFonts w:cs="Arial"/>
                <w:sz w:val="24"/>
                <w:szCs w:val="24"/>
              </w:rPr>
              <w:t xml:space="preserve">Appendix 5 – EXEMPT – </w:t>
            </w:r>
            <w:r w:rsidR="007C255E">
              <w:rPr>
                <w:rFonts w:cs="Arial"/>
                <w:sz w:val="24"/>
                <w:szCs w:val="24"/>
              </w:rPr>
              <w:t xml:space="preserve">Addition to the HRA Capital Programme </w:t>
            </w:r>
          </w:p>
        </w:tc>
      </w:tr>
    </w:tbl>
    <w:p w14:paraId="55D9F091" w14:textId="6C98EE8C" w:rsidR="003C7F2F" w:rsidRDefault="003C7F2F">
      <w:pPr>
        <w:rPr>
          <w:color w:val="FF0000"/>
        </w:rPr>
      </w:pPr>
    </w:p>
    <w:p w14:paraId="42045C88" w14:textId="3C5EA7FF" w:rsidR="00F75654" w:rsidRDefault="00F75654">
      <w:pPr>
        <w:rPr>
          <w:color w:val="FF0000"/>
        </w:rPr>
      </w:pPr>
    </w:p>
    <w:p w14:paraId="165FAC45" w14:textId="6F60833E" w:rsidR="00F75654" w:rsidRDefault="00F75654">
      <w:pPr>
        <w:rPr>
          <w:color w:val="FF0000"/>
        </w:rPr>
      </w:pPr>
    </w:p>
    <w:p w14:paraId="6497D9DB" w14:textId="308D9BF9" w:rsidR="00F75654" w:rsidRDefault="00F75654">
      <w:pPr>
        <w:rPr>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6160A2" w:rsidRPr="006160A2" w14:paraId="2AD700D9" w14:textId="77777777" w:rsidTr="003C7F2F">
        <w:tc>
          <w:tcPr>
            <w:tcW w:w="9464" w:type="dxa"/>
            <w:tcBorders>
              <w:top w:val="nil"/>
              <w:left w:val="nil"/>
              <w:right w:val="nil"/>
            </w:tcBorders>
          </w:tcPr>
          <w:p w14:paraId="4E6A3993" w14:textId="5EDE5753" w:rsidR="00333FAA" w:rsidRPr="006160A2" w:rsidRDefault="00333FAA" w:rsidP="003634DA">
            <w:pPr>
              <w:pStyle w:val="Heading1"/>
              <w:jc w:val="both"/>
            </w:pPr>
            <w:r w:rsidRPr="006160A2">
              <w:lastRenderedPageBreak/>
              <w:t>Section 1 – Summary and Recommendations</w:t>
            </w:r>
          </w:p>
          <w:p w14:paraId="5C2FA4ED" w14:textId="77777777" w:rsidR="00333FAA" w:rsidRPr="006160A2" w:rsidRDefault="00333FAA" w:rsidP="003634DA">
            <w:pPr>
              <w:jc w:val="both"/>
            </w:pPr>
          </w:p>
        </w:tc>
      </w:tr>
      <w:tr w:rsidR="006160A2" w:rsidRPr="006160A2" w14:paraId="1FB28782" w14:textId="77777777" w:rsidTr="006160A2">
        <w:tc>
          <w:tcPr>
            <w:tcW w:w="9464" w:type="dxa"/>
          </w:tcPr>
          <w:p w14:paraId="15485C20" w14:textId="60F06C04" w:rsidR="00315406" w:rsidRPr="00DA65B5" w:rsidRDefault="00315406" w:rsidP="003634DA">
            <w:pPr>
              <w:pStyle w:val="ListParagraph"/>
              <w:jc w:val="both"/>
            </w:pPr>
          </w:p>
          <w:p w14:paraId="1403028E" w14:textId="5690B5A1" w:rsidR="00F505C5" w:rsidRPr="00DA65B5" w:rsidRDefault="00F505C5" w:rsidP="003634DA">
            <w:pPr>
              <w:jc w:val="both"/>
              <w:rPr>
                <w:bCs/>
              </w:rPr>
            </w:pPr>
            <w:r w:rsidRPr="00DA65B5">
              <w:t xml:space="preserve">This report sets out the Council’s </w:t>
            </w:r>
            <w:r w:rsidR="006160A2" w:rsidRPr="00DA65B5">
              <w:t>final revenue and capital outturn position for 2022-23</w:t>
            </w:r>
          </w:p>
          <w:p w14:paraId="5285CDA3" w14:textId="77777777" w:rsidR="00F505C5" w:rsidRPr="00DA65B5" w:rsidRDefault="00F505C5" w:rsidP="003634DA">
            <w:pPr>
              <w:jc w:val="both"/>
              <w:rPr>
                <w:b/>
                <w:bCs/>
                <w:u w:val="single"/>
              </w:rPr>
            </w:pPr>
          </w:p>
          <w:p w14:paraId="722ECE10" w14:textId="77777777" w:rsidR="00F505C5" w:rsidRPr="00DA65B5" w:rsidRDefault="00F505C5" w:rsidP="003634DA">
            <w:pPr>
              <w:jc w:val="both"/>
              <w:rPr>
                <w:b/>
                <w:bCs/>
                <w:sz w:val="28"/>
                <w:szCs w:val="22"/>
              </w:rPr>
            </w:pPr>
            <w:r w:rsidRPr="00DA65B5">
              <w:rPr>
                <w:b/>
                <w:bCs/>
                <w:sz w:val="28"/>
                <w:szCs w:val="22"/>
              </w:rPr>
              <w:t xml:space="preserve">Recommendations: </w:t>
            </w:r>
          </w:p>
          <w:p w14:paraId="08A43294" w14:textId="77777777" w:rsidR="00F505C5" w:rsidRPr="00DA65B5" w:rsidRDefault="00F505C5" w:rsidP="003634DA">
            <w:pPr>
              <w:jc w:val="both"/>
            </w:pPr>
          </w:p>
          <w:p w14:paraId="4DD0010F" w14:textId="0E24DD2C" w:rsidR="00E81EEA" w:rsidRPr="00DA65B5" w:rsidRDefault="00F505C5" w:rsidP="00AF06B3">
            <w:pPr>
              <w:numPr>
                <w:ilvl w:val="0"/>
                <w:numId w:val="3"/>
              </w:numPr>
              <w:jc w:val="both"/>
            </w:pPr>
            <w:r w:rsidRPr="00DA65B5">
              <w:t xml:space="preserve">That Cabinet notes the revenue and capital </w:t>
            </w:r>
            <w:r w:rsidR="00825082" w:rsidRPr="00DA65B5">
              <w:t>outturn</w:t>
            </w:r>
            <w:r w:rsidRPr="00DA65B5">
              <w:t xml:space="preserve"> positions set out </w:t>
            </w:r>
            <w:r w:rsidR="00517C7D" w:rsidRPr="00DA65B5">
              <w:t>in</w:t>
            </w:r>
            <w:r w:rsidRPr="00DA65B5">
              <w:t xml:space="preserve"> paragraph</w:t>
            </w:r>
            <w:r w:rsidR="00517C7D" w:rsidRPr="00DA65B5">
              <w:t>s</w:t>
            </w:r>
            <w:r w:rsidR="0008678F" w:rsidRPr="00DA65B5">
              <w:t xml:space="preserve"> 1.</w:t>
            </w:r>
            <w:r w:rsidR="00E82957" w:rsidRPr="00DA65B5">
              <w:t>2</w:t>
            </w:r>
            <w:r w:rsidR="00CF1E61" w:rsidRPr="00DA65B5">
              <w:t xml:space="preserve"> </w:t>
            </w:r>
            <w:r w:rsidR="004052E3" w:rsidRPr="00DA65B5">
              <w:t>to 1.</w:t>
            </w:r>
            <w:r w:rsidR="00CD7926">
              <w:t>6</w:t>
            </w:r>
            <w:r w:rsidR="000860A6" w:rsidRPr="00DA65B5">
              <w:t>.</w:t>
            </w:r>
          </w:p>
          <w:p w14:paraId="0F3098EE" w14:textId="77777777" w:rsidR="002E0F2C" w:rsidRPr="00DA65B5" w:rsidRDefault="002E0F2C" w:rsidP="002E0F2C">
            <w:pPr>
              <w:ind w:left="720"/>
              <w:jc w:val="both"/>
            </w:pPr>
          </w:p>
          <w:p w14:paraId="24CA1253" w14:textId="0CE8B33C" w:rsidR="002E0F2C" w:rsidRPr="006160A2" w:rsidRDefault="002E0F2C" w:rsidP="00AF06B3">
            <w:pPr>
              <w:numPr>
                <w:ilvl w:val="0"/>
                <w:numId w:val="3"/>
              </w:numPr>
              <w:jc w:val="both"/>
              <w:rPr>
                <w:color w:val="FF0000"/>
              </w:rPr>
            </w:pPr>
            <w:r w:rsidRPr="00DA65B5">
              <w:t xml:space="preserve">That Cabinet approve the proposed additions and amendments to the Capital Programme as set out in paragraphs </w:t>
            </w:r>
            <w:r w:rsidR="00E54211" w:rsidRPr="00DA65B5">
              <w:t>3.3</w:t>
            </w:r>
            <w:r w:rsidR="00DA65B5" w:rsidRPr="00DA65B5">
              <w:t>9</w:t>
            </w:r>
            <w:r w:rsidR="00E54211" w:rsidRPr="00DA65B5">
              <w:t xml:space="preserve"> to 3.</w:t>
            </w:r>
            <w:r w:rsidR="00DA65B5" w:rsidRPr="00DA65B5">
              <w:t>44</w:t>
            </w:r>
            <w:r w:rsidR="000153B2">
              <w:t xml:space="preserve"> </w:t>
            </w:r>
            <w:r w:rsidR="00D358F9">
              <w:t xml:space="preserve">and </w:t>
            </w:r>
            <w:r w:rsidR="009F6CE4">
              <w:t>Appendix 5 (EXEMPT)</w:t>
            </w:r>
          </w:p>
          <w:p w14:paraId="2F90CFE3" w14:textId="77777777" w:rsidR="00E81EEA" w:rsidRPr="00D25AD6" w:rsidRDefault="00E81EEA" w:rsidP="00E81EEA">
            <w:pPr>
              <w:ind w:left="720"/>
              <w:jc w:val="both"/>
            </w:pPr>
          </w:p>
          <w:p w14:paraId="4DD335B3" w14:textId="0A2CAEAA" w:rsidR="006A34C3" w:rsidRPr="00D25AD6" w:rsidRDefault="000D66AA" w:rsidP="00787709">
            <w:pPr>
              <w:numPr>
                <w:ilvl w:val="0"/>
                <w:numId w:val="3"/>
              </w:numPr>
              <w:jc w:val="both"/>
            </w:pPr>
            <w:r w:rsidRPr="00D25AD6">
              <w:t xml:space="preserve">That Cabinet note </w:t>
            </w:r>
            <w:r w:rsidR="00825082" w:rsidRPr="00D25AD6">
              <w:t>the</w:t>
            </w:r>
            <w:r w:rsidRPr="00D25AD6">
              <w:t xml:space="preserve"> Council’s Trading Update as detailed in Appendix </w:t>
            </w:r>
            <w:r w:rsidR="007C255E">
              <w:t>4</w:t>
            </w:r>
            <w:r w:rsidRPr="00D25AD6">
              <w:t>.</w:t>
            </w:r>
          </w:p>
          <w:p w14:paraId="4B8D405D" w14:textId="77777777" w:rsidR="009F6CE4" w:rsidRPr="00D25AD6" w:rsidRDefault="009F6CE4" w:rsidP="00F75654">
            <w:pPr>
              <w:jc w:val="both"/>
            </w:pPr>
          </w:p>
          <w:p w14:paraId="2C813DBD" w14:textId="6E42B0CA" w:rsidR="005641E0" w:rsidRPr="006160A2" w:rsidRDefault="001C7E35" w:rsidP="003634DA">
            <w:pPr>
              <w:pStyle w:val="Heading2"/>
              <w:jc w:val="both"/>
            </w:pPr>
            <w:r w:rsidRPr="006160A2">
              <w:t>Reason: (For recommendation</w:t>
            </w:r>
            <w:r w:rsidR="00714BEE" w:rsidRPr="006160A2">
              <w:t>s</w:t>
            </w:r>
            <w:r w:rsidRPr="006160A2">
              <w:t>)</w:t>
            </w:r>
            <w:r w:rsidR="00312B7A" w:rsidRPr="006160A2">
              <w:t xml:space="preserve"> </w:t>
            </w:r>
          </w:p>
          <w:p w14:paraId="752A3DF8" w14:textId="01A716AF" w:rsidR="00F505C5" w:rsidRPr="006160A2" w:rsidRDefault="00F505C5" w:rsidP="003634DA">
            <w:pPr>
              <w:jc w:val="both"/>
            </w:pPr>
            <w:r w:rsidRPr="006160A2">
              <w:t xml:space="preserve">To report the </w:t>
            </w:r>
            <w:r w:rsidR="006C5584" w:rsidRPr="006160A2">
              <w:t>2022-23</w:t>
            </w:r>
            <w:r w:rsidRPr="006160A2">
              <w:t xml:space="preserve"> financial </w:t>
            </w:r>
            <w:r w:rsidR="006C5584" w:rsidRPr="006160A2">
              <w:t xml:space="preserve">forecast </w:t>
            </w:r>
            <w:r w:rsidRPr="006160A2">
              <w:t>position</w:t>
            </w:r>
            <w:r w:rsidR="000153B2">
              <w:t xml:space="preserve"> and</w:t>
            </w:r>
            <w:r w:rsidR="006C5584" w:rsidRPr="006160A2">
              <w:t xml:space="preserve"> </w:t>
            </w:r>
            <w:r w:rsidR="00381A1C" w:rsidRPr="006160A2">
              <w:t xml:space="preserve">to update Cabinet on </w:t>
            </w:r>
            <w:r w:rsidR="00070FDB" w:rsidRPr="006160A2">
              <w:t>t</w:t>
            </w:r>
            <w:r w:rsidR="00381A1C" w:rsidRPr="006160A2">
              <w:t xml:space="preserve">rading </w:t>
            </w:r>
            <w:r w:rsidR="00D71F49" w:rsidRPr="006160A2">
              <w:t xml:space="preserve">company </w:t>
            </w:r>
            <w:r w:rsidR="00381A1C" w:rsidRPr="006160A2">
              <w:t>performance</w:t>
            </w:r>
            <w:r w:rsidR="00825082" w:rsidRPr="006160A2">
              <w:t>.</w:t>
            </w:r>
          </w:p>
          <w:p w14:paraId="1D534CB5" w14:textId="77777777" w:rsidR="00333FAA" w:rsidRPr="006160A2" w:rsidRDefault="00333FAA" w:rsidP="003634DA">
            <w:pPr>
              <w:pStyle w:val="Heading2"/>
              <w:jc w:val="both"/>
              <w:rPr>
                <w:color w:val="FF0000"/>
              </w:rPr>
            </w:pPr>
          </w:p>
        </w:tc>
      </w:tr>
    </w:tbl>
    <w:p w14:paraId="1F2B0944" w14:textId="77777777" w:rsidR="008940FC" w:rsidRPr="006160A2" w:rsidRDefault="008940FC" w:rsidP="003634DA">
      <w:pPr>
        <w:pStyle w:val="Heading1"/>
        <w:jc w:val="both"/>
        <w:rPr>
          <w:color w:val="FF0000"/>
        </w:rPr>
      </w:pPr>
    </w:p>
    <w:p w14:paraId="3C326E6C" w14:textId="77777777" w:rsidR="00333FAA" w:rsidRPr="006160A2" w:rsidRDefault="00333FAA" w:rsidP="003634DA">
      <w:pPr>
        <w:pStyle w:val="Heading1"/>
        <w:jc w:val="both"/>
      </w:pPr>
      <w:r w:rsidRPr="006160A2">
        <w:t>Section 2 – Report</w:t>
      </w:r>
    </w:p>
    <w:p w14:paraId="75C2F062" w14:textId="57413490" w:rsidR="005641E0" w:rsidRPr="006160A2" w:rsidRDefault="005641E0" w:rsidP="00DB648D">
      <w:pPr>
        <w:jc w:val="both"/>
        <w:rPr>
          <w:rFonts w:cs="Arial"/>
          <w:szCs w:val="24"/>
        </w:rPr>
      </w:pPr>
    </w:p>
    <w:p w14:paraId="528CE6EC" w14:textId="77777777" w:rsidR="005641E0" w:rsidRPr="006160A2" w:rsidRDefault="006739F8" w:rsidP="00C75F94">
      <w:pPr>
        <w:numPr>
          <w:ilvl w:val="0"/>
          <w:numId w:val="1"/>
        </w:numPr>
        <w:tabs>
          <w:tab w:val="left" w:pos="0"/>
        </w:tabs>
        <w:ind w:left="567" w:hanging="567"/>
        <w:jc w:val="both"/>
        <w:rPr>
          <w:rFonts w:cs="Arial"/>
          <w:b/>
          <w:bCs/>
          <w:szCs w:val="24"/>
          <w:u w:val="single"/>
        </w:rPr>
      </w:pPr>
      <w:r w:rsidRPr="006160A2">
        <w:rPr>
          <w:rFonts w:cs="Arial"/>
          <w:b/>
          <w:bCs/>
          <w:szCs w:val="24"/>
          <w:u w:val="single"/>
        </w:rPr>
        <w:t>INTRODUCTION</w:t>
      </w:r>
    </w:p>
    <w:p w14:paraId="59CC7CC4" w14:textId="77777777" w:rsidR="003E2127" w:rsidRPr="006160A2" w:rsidRDefault="003E2127" w:rsidP="003634DA">
      <w:pPr>
        <w:ind w:left="567"/>
        <w:jc w:val="both"/>
        <w:rPr>
          <w:rFonts w:cs="Arial"/>
          <w:b/>
          <w:bCs/>
          <w:szCs w:val="24"/>
          <w:u w:val="single"/>
        </w:rPr>
      </w:pPr>
    </w:p>
    <w:p w14:paraId="4E7D25AD" w14:textId="6B87A53D" w:rsidR="00513EC1" w:rsidRPr="006552F7" w:rsidRDefault="00513EC1" w:rsidP="00825082">
      <w:pPr>
        <w:pStyle w:val="ListParagraph"/>
        <w:numPr>
          <w:ilvl w:val="0"/>
          <w:numId w:val="1"/>
        </w:numPr>
        <w:ind w:left="567" w:hanging="567"/>
        <w:contextualSpacing/>
        <w:jc w:val="both"/>
        <w:rPr>
          <w:rFonts w:cs="Arial"/>
          <w:szCs w:val="24"/>
        </w:rPr>
      </w:pPr>
      <w:r w:rsidRPr="006552F7">
        <w:rPr>
          <w:rFonts w:cs="Arial"/>
          <w:szCs w:val="24"/>
        </w:rPr>
        <w:t xml:space="preserve">This is the </w:t>
      </w:r>
      <w:r w:rsidR="006160A2" w:rsidRPr="006552F7">
        <w:rPr>
          <w:rFonts w:cs="Arial"/>
          <w:szCs w:val="24"/>
        </w:rPr>
        <w:t>final</w:t>
      </w:r>
      <w:r w:rsidR="005933AB" w:rsidRPr="006552F7">
        <w:rPr>
          <w:rFonts w:cs="Arial"/>
          <w:szCs w:val="24"/>
        </w:rPr>
        <w:t xml:space="preserve"> b</w:t>
      </w:r>
      <w:r w:rsidR="00825082" w:rsidRPr="006552F7">
        <w:rPr>
          <w:rFonts w:cs="Arial"/>
          <w:szCs w:val="24"/>
        </w:rPr>
        <w:t xml:space="preserve">udget </w:t>
      </w:r>
      <w:r w:rsidR="004325F9" w:rsidRPr="006552F7">
        <w:rPr>
          <w:rFonts w:cs="Arial"/>
          <w:szCs w:val="24"/>
        </w:rPr>
        <w:t>monitoring</w:t>
      </w:r>
      <w:r w:rsidRPr="006552F7">
        <w:rPr>
          <w:rFonts w:cs="Arial"/>
          <w:szCs w:val="24"/>
        </w:rPr>
        <w:t xml:space="preserve"> report for </w:t>
      </w:r>
      <w:r w:rsidR="006160A2" w:rsidRPr="006552F7">
        <w:rPr>
          <w:rFonts w:cs="Arial"/>
          <w:szCs w:val="24"/>
        </w:rPr>
        <w:t>2022-23</w:t>
      </w:r>
      <w:r w:rsidRPr="006552F7">
        <w:rPr>
          <w:rFonts w:cs="Arial"/>
          <w:szCs w:val="24"/>
        </w:rPr>
        <w:t xml:space="preserve">.  </w:t>
      </w:r>
    </w:p>
    <w:p w14:paraId="16E3B1D3" w14:textId="77777777" w:rsidR="00825082" w:rsidRPr="006552F7" w:rsidRDefault="00825082" w:rsidP="00825082">
      <w:pPr>
        <w:contextualSpacing/>
        <w:jc w:val="both"/>
        <w:rPr>
          <w:rFonts w:cs="Arial"/>
          <w:szCs w:val="24"/>
        </w:rPr>
      </w:pPr>
    </w:p>
    <w:p w14:paraId="32890AA0" w14:textId="68966110" w:rsidR="00567B16" w:rsidRPr="006552F7" w:rsidRDefault="00044F9B" w:rsidP="00567B16">
      <w:pPr>
        <w:ind w:left="567" w:hanging="567"/>
        <w:rPr>
          <w:rFonts w:cs="Arial"/>
          <w:szCs w:val="24"/>
        </w:rPr>
      </w:pPr>
      <w:r w:rsidRPr="006552F7">
        <w:rPr>
          <w:rFonts w:cs="Arial"/>
          <w:szCs w:val="24"/>
        </w:rPr>
        <w:t>1.2</w:t>
      </w:r>
      <w:r w:rsidRPr="006552F7">
        <w:rPr>
          <w:rFonts w:cs="Arial"/>
          <w:szCs w:val="24"/>
        </w:rPr>
        <w:tab/>
      </w:r>
      <w:r w:rsidR="00567B16" w:rsidRPr="006552F7">
        <w:rPr>
          <w:rFonts w:cs="Arial"/>
          <w:szCs w:val="24"/>
        </w:rPr>
        <w:t>At the start of the financial year there was a planned draw down from reserves of £14.711m built into the 2022-23 budget.</w:t>
      </w:r>
    </w:p>
    <w:p w14:paraId="3F411201" w14:textId="77777777" w:rsidR="00567B16" w:rsidRPr="006552F7" w:rsidRDefault="00567B16" w:rsidP="00567B16">
      <w:pPr>
        <w:ind w:left="567" w:hanging="567"/>
        <w:rPr>
          <w:rFonts w:cs="Arial"/>
          <w:szCs w:val="24"/>
        </w:rPr>
      </w:pPr>
    </w:p>
    <w:p w14:paraId="7CAE3C72" w14:textId="4A312B3D" w:rsidR="00044F9B" w:rsidRPr="006552F7" w:rsidRDefault="00567B16" w:rsidP="00567B16">
      <w:pPr>
        <w:ind w:left="567" w:hanging="567"/>
      </w:pPr>
      <w:r w:rsidRPr="006552F7">
        <w:rPr>
          <w:rFonts w:cs="Arial"/>
          <w:szCs w:val="24"/>
        </w:rPr>
        <w:t>1.3</w:t>
      </w:r>
      <w:r w:rsidRPr="006552F7">
        <w:rPr>
          <w:rFonts w:cs="Arial"/>
          <w:szCs w:val="24"/>
        </w:rPr>
        <w:tab/>
      </w:r>
      <w:r w:rsidR="006160A2" w:rsidRPr="006552F7">
        <w:rPr>
          <w:rFonts w:cs="Arial"/>
          <w:szCs w:val="24"/>
        </w:rPr>
        <w:t>The final outturn on the revenue budget for 2022-23</w:t>
      </w:r>
      <w:r w:rsidR="00ED24A9" w:rsidRPr="006552F7">
        <w:rPr>
          <w:rFonts w:cs="Arial"/>
          <w:szCs w:val="24"/>
        </w:rPr>
        <w:t xml:space="preserve"> is an overspend of £</w:t>
      </w:r>
      <w:r w:rsidR="006D6ED3" w:rsidRPr="006552F7">
        <w:rPr>
          <w:rFonts w:cs="Arial"/>
          <w:szCs w:val="24"/>
        </w:rPr>
        <w:t>5.842m</w:t>
      </w:r>
      <w:r w:rsidR="00ED24A9" w:rsidRPr="006552F7">
        <w:rPr>
          <w:rFonts w:cs="Arial"/>
          <w:szCs w:val="24"/>
        </w:rPr>
        <w:t xml:space="preserve"> which</w:t>
      </w:r>
      <w:r w:rsidR="006160A2" w:rsidRPr="006552F7">
        <w:rPr>
          <w:rFonts w:cs="Arial"/>
          <w:szCs w:val="24"/>
        </w:rPr>
        <w:t xml:space="preserve">, after </w:t>
      </w:r>
      <w:proofErr w:type="gramStart"/>
      <w:r w:rsidR="00ED24A9" w:rsidRPr="006552F7">
        <w:rPr>
          <w:rFonts w:cs="Arial"/>
          <w:szCs w:val="24"/>
        </w:rPr>
        <w:t>draw</w:t>
      </w:r>
      <w:proofErr w:type="gramEnd"/>
      <w:r w:rsidR="00ED24A9" w:rsidRPr="006552F7">
        <w:rPr>
          <w:rFonts w:cs="Arial"/>
          <w:szCs w:val="24"/>
        </w:rPr>
        <w:t xml:space="preserve"> down from</w:t>
      </w:r>
      <w:r w:rsidR="006160A2" w:rsidRPr="006552F7">
        <w:rPr>
          <w:rFonts w:cs="Arial"/>
          <w:szCs w:val="24"/>
        </w:rPr>
        <w:t xml:space="preserve"> reserves, cross divisional adjustments and carry forwards, is</w:t>
      </w:r>
      <w:r w:rsidR="00ED24A9" w:rsidRPr="006552F7">
        <w:rPr>
          <w:rFonts w:cs="Arial"/>
          <w:szCs w:val="24"/>
        </w:rPr>
        <w:t xml:space="preserve"> reduced</w:t>
      </w:r>
      <w:r w:rsidR="006160A2" w:rsidRPr="006552F7">
        <w:rPr>
          <w:rFonts w:cs="Arial"/>
          <w:szCs w:val="24"/>
        </w:rPr>
        <w:t xml:space="preserve"> a balanced position.</w:t>
      </w:r>
      <w:r w:rsidR="00044F9B" w:rsidRPr="006552F7">
        <w:t xml:space="preserve"> </w:t>
      </w:r>
    </w:p>
    <w:p w14:paraId="5B548D56" w14:textId="55BF15B3" w:rsidR="00567B16" w:rsidRPr="006552F7" w:rsidRDefault="00567B16" w:rsidP="00567B16">
      <w:pPr>
        <w:ind w:left="567" w:hanging="567"/>
      </w:pPr>
    </w:p>
    <w:p w14:paraId="1EB05EBA" w14:textId="7C9C65E4" w:rsidR="00567B16" w:rsidRPr="00567B16" w:rsidRDefault="00567B16" w:rsidP="00567B16">
      <w:pPr>
        <w:ind w:left="567" w:hanging="567"/>
        <w:rPr>
          <w:rFonts w:cs="Arial"/>
          <w:szCs w:val="24"/>
        </w:rPr>
      </w:pPr>
      <w:r w:rsidRPr="006552F7">
        <w:t>1.4</w:t>
      </w:r>
      <w:r w:rsidRPr="006552F7">
        <w:tab/>
        <w:t>The final overspend of £5.842m means that the balance of £8.869m</w:t>
      </w:r>
      <w:r w:rsidR="00214FF4">
        <w:t>,</w:t>
      </w:r>
      <w:r w:rsidRPr="006552F7">
        <w:t xml:space="preserve"> not required to be drawn down from reserves in 2022-23, will remain on the balance sheet and support the Council’s financial sustainability moving forwards.</w:t>
      </w:r>
    </w:p>
    <w:p w14:paraId="2926BBBE" w14:textId="77777777" w:rsidR="00871964" w:rsidRDefault="00871964" w:rsidP="00044F9B">
      <w:pPr>
        <w:ind w:left="567" w:hanging="567"/>
        <w:contextualSpacing/>
        <w:jc w:val="both"/>
        <w:rPr>
          <w:rFonts w:cs="Arial"/>
          <w:bCs/>
          <w:szCs w:val="24"/>
        </w:rPr>
      </w:pPr>
    </w:p>
    <w:p w14:paraId="3EFFD8B5" w14:textId="792C0773" w:rsidR="003B40B3" w:rsidRPr="00350DF4" w:rsidRDefault="00044F9B" w:rsidP="00044F9B">
      <w:pPr>
        <w:ind w:left="567" w:hanging="567"/>
        <w:contextualSpacing/>
        <w:jc w:val="both"/>
        <w:rPr>
          <w:rFonts w:cs="Arial"/>
          <w:bCs/>
          <w:szCs w:val="24"/>
        </w:rPr>
      </w:pPr>
      <w:r w:rsidRPr="003639A1">
        <w:rPr>
          <w:rFonts w:cs="Arial"/>
          <w:bCs/>
          <w:szCs w:val="24"/>
        </w:rPr>
        <w:t>1.</w:t>
      </w:r>
      <w:r w:rsidR="00567B16">
        <w:rPr>
          <w:rFonts w:cs="Arial"/>
          <w:bCs/>
          <w:szCs w:val="24"/>
        </w:rPr>
        <w:t>5</w:t>
      </w:r>
      <w:r w:rsidRPr="003639A1">
        <w:rPr>
          <w:rFonts w:cs="Arial"/>
          <w:bCs/>
          <w:szCs w:val="24"/>
        </w:rPr>
        <w:tab/>
      </w:r>
      <w:r w:rsidR="003B40B3" w:rsidRPr="003639A1">
        <w:rPr>
          <w:rFonts w:cs="Arial"/>
          <w:bCs/>
          <w:szCs w:val="24"/>
        </w:rPr>
        <w:t>The</w:t>
      </w:r>
      <w:r w:rsidR="003639A1" w:rsidRPr="003639A1">
        <w:rPr>
          <w:rFonts w:cs="Arial"/>
          <w:bCs/>
          <w:szCs w:val="24"/>
        </w:rPr>
        <w:t xml:space="preserve"> final</w:t>
      </w:r>
      <w:r w:rsidR="003B40B3" w:rsidRPr="003639A1">
        <w:rPr>
          <w:rFonts w:cs="Arial"/>
          <w:bCs/>
          <w:szCs w:val="24"/>
        </w:rPr>
        <w:t xml:space="preserve"> </w:t>
      </w:r>
      <w:r w:rsidR="006C5584" w:rsidRPr="003639A1">
        <w:rPr>
          <w:rFonts w:cs="Arial"/>
          <w:bCs/>
          <w:szCs w:val="24"/>
        </w:rPr>
        <w:t>general fund capital programme budget in 2022-23 is £</w:t>
      </w:r>
      <w:r w:rsidR="00CB02E1" w:rsidRPr="003639A1">
        <w:rPr>
          <w:rFonts w:cs="Arial"/>
          <w:bCs/>
          <w:szCs w:val="24"/>
        </w:rPr>
        <w:t>10</w:t>
      </w:r>
      <w:r w:rsidR="003639A1" w:rsidRPr="003639A1">
        <w:rPr>
          <w:rFonts w:cs="Arial"/>
          <w:bCs/>
          <w:szCs w:val="24"/>
        </w:rPr>
        <w:t>3.307</w:t>
      </w:r>
      <w:r w:rsidR="00CB02E1" w:rsidRPr="003639A1">
        <w:rPr>
          <w:rFonts w:cs="Arial"/>
          <w:bCs/>
          <w:szCs w:val="24"/>
        </w:rPr>
        <w:t>m</w:t>
      </w:r>
      <w:r w:rsidR="00957EA1" w:rsidRPr="003639A1">
        <w:rPr>
          <w:rFonts w:cs="Arial"/>
          <w:bCs/>
          <w:szCs w:val="24"/>
        </w:rPr>
        <w:t>.</w:t>
      </w:r>
      <w:r w:rsidR="006C5584" w:rsidRPr="003639A1">
        <w:rPr>
          <w:rFonts w:cs="Arial"/>
          <w:bCs/>
          <w:szCs w:val="24"/>
        </w:rPr>
        <w:t xml:space="preserve"> The net </w:t>
      </w:r>
      <w:r w:rsidR="003639A1" w:rsidRPr="00350DF4">
        <w:rPr>
          <w:rFonts w:cs="Arial"/>
          <w:bCs/>
          <w:szCs w:val="24"/>
        </w:rPr>
        <w:t>outturn</w:t>
      </w:r>
      <w:r w:rsidR="006C5584" w:rsidRPr="00350DF4">
        <w:rPr>
          <w:rFonts w:cs="Arial"/>
          <w:bCs/>
          <w:szCs w:val="24"/>
        </w:rPr>
        <w:t xml:space="preserve"> position on the capital budget </w:t>
      </w:r>
      <w:r w:rsidR="003639A1" w:rsidRPr="00350DF4">
        <w:rPr>
          <w:rFonts w:cs="Arial"/>
          <w:bCs/>
          <w:szCs w:val="24"/>
        </w:rPr>
        <w:t>at the end of the financial year</w:t>
      </w:r>
      <w:r w:rsidR="006C5584" w:rsidRPr="00350DF4">
        <w:rPr>
          <w:rFonts w:cs="Arial"/>
          <w:bCs/>
          <w:szCs w:val="24"/>
        </w:rPr>
        <w:t xml:space="preserve"> is £</w:t>
      </w:r>
      <w:r w:rsidR="003639A1" w:rsidRPr="00350DF4">
        <w:rPr>
          <w:rFonts w:cs="Arial"/>
          <w:bCs/>
          <w:szCs w:val="24"/>
        </w:rPr>
        <w:t>25.388m</w:t>
      </w:r>
      <w:r w:rsidR="006C5584" w:rsidRPr="00350DF4">
        <w:rPr>
          <w:rFonts w:cs="Arial"/>
          <w:bCs/>
          <w:szCs w:val="24"/>
        </w:rPr>
        <w:t xml:space="preserve"> which represents </w:t>
      </w:r>
      <w:r w:rsidR="003639A1" w:rsidRPr="00350DF4">
        <w:rPr>
          <w:rFonts w:cs="Arial"/>
          <w:bCs/>
          <w:szCs w:val="24"/>
        </w:rPr>
        <w:t>25</w:t>
      </w:r>
      <w:r w:rsidR="006C5584" w:rsidRPr="00350DF4">
        <w:rPr>
          <w:rFonts w:cs="Arial"/>
          <w:bCs/>
          <w:szCs w:val="24"/>
        </w:rPr>
        <w:t>% of the total capital programme budget. The variance of £</w:t>
      </w:r>
      <w:r w:rsidR="003639A1" w:rsidRPr="00350DF4">
        <w:rPr>
          <w:rFonts w:cs="Arial"/>
          <w:bCs/>
          <w:szCs w:val="24"/>
        </w:rPr>
        <w:t>77.919m</w:t>
      </w:r>
      <w:r w:rsidR="00957EA1" w:rsidRPr="00350DF4">
        <w:rPr>
          <w:rFonts w:cs="Arial"/>
          <w:bCs/>
          <w:szCs w:val="24"/>
        </w:rPr>
        <w:t xml:space="preserve"> </w:t>
      </w:r>
      <w:r w:rsidR="006C5584" w:rsidRPr="00350DF4">
        <w:rPr>
          <w:rFonts w:cs="Arial"/>
          <w:bCs/>
          <w:szCs w:val="24"/>
        </w:rPr>
        <w:t>is made up of slippage of £</w:t>
      </w:r>
      <w:r w:rsidR="003639A1" w:rsidRPr="00350DF4">
        <w:rPr>
          <w:rFonts w:cs="Arial"/>
          <w:bCs/>
          <w:szCs w:val="24"/>
        </w:rPr>
        <w:t>74.436m</w:t>
      </w:r>
      <w:r w:rsidR="006C5584" w:rsidRPr="00350DF4">
        <w:rPr>
          <w:rFonts w:cs="Arial"/>
          <w:bCs/>
          <w:szCs w:val="24"/>
        </w:rPr>
        <w:t xml:space="preserve"> and an underspend of £</w:t>
      </w:r>
      <w:r w:rsidR="003639A1" w:rsidRPr="00350DF4">
        <w:rPr>
          <w:rFonts w:cs="Arial"/>
          <w:bCs/>
          <w:szCs w:val="24"/>
        </w:rPr>
        <w:t>3.484m</w:t>
      </w:r>
      <w:r w:rsidR="006C5584" w:rsidRPr="00350DF4">
        <w:rPr>
          <w:rFonts w:cs="Arial"/>
          <w:bCs/>
          <w:szCs w:val="24"/>
        </w:rPr>
        <w:t>.</w:t>
      </w:r>
    </w:p>
    <w:p w14:paraId="0F3275F6" w14:textId="77777777" w:rsidR="006C5584" w:rsidRPr="00350DF4" w:rsidRDefault="006C5584" w:rsidP="006C5584">
      <w:pPr>
        <w:contextualSpacing/>
        <w:jc w:val="both"/>
        <w:rPr>
          <w:rFonts w:cs="Arial"/>
          <w:bCs/>
          <w:szCs w:val="24"/>
        </w:rPr>
      </w:pPr>
    </w:p>
    <w:p w14:paraId="5349444F" w14:textId="5F39E52B" w:rsidR="003B40B3" w:rsidRPr="00350DF4" w:rsidRDefault="00044F9B" w:rsidP="00044F9B">
      <w:pPr>
        <w:ind w:left="567" w:hanging="567"/>
        <w:contextualSpacing/>
        <w:jc w:val="both"/>
        <w:rPr>
          <w:rFonts w:cs="Arial"/>
          <w:szCs w:val="24"/>
        </w:rPr>
      </w:pPr>
      <w:r w:rsidRPr="00350DF4">
        <w:rPr>
          <w:rFonts w:cs="Arial"/>
          <w:bCs/>
          <w:szCs w:val="24"/>
        </w:rPr>
        <w:t>1.</w:t>
      </w:r>
      <w:r w:rsidR="00567B16">
        <w:rPr>
          <w:rFonts w:cs="Arial"/>
          <w:bCs/>
          <w:szCs w:val="24"/>
        </w:rPr>
        <w:t>6</w:t>
      </w:r>
      <w:r w:rsidRPr="00350DF4">
        <w:rPr>
          <w:rFonts w:cs="Arial"/>
          <w:bCs/>
          <w:szCs w:val="24"/>
        </w:rPr>
        <w:tab/>
      </w:r>
      <w:r w:rsidR="006C5584" w:rsidRPr="00350DF4">
        <w:rPr>
          <w:rFonts w:cs="Arial"/>
          <w:bCs/>
          <w:szCs w:val="24"/>
        </w:rPr>
        <w:t>The Housing Revenue Account (HRA) capital programme budget is £</w:t>
      </w:r>
      <w:r w:rsidR="00957EA1" w:rsidRPr="00350DF4">
        <w:rPr>
          <w:rFonts w:cs="Arial"/>
          <w:bCs/>
          <w:szCs w:val="24"/>
        </w:rPr>
        <w:t>52.</w:t>
      </w:r>
      <w:r w:rsidR="00350DF4" w:rsidRPr="00350DF4">
        <w:rPr>
          <w:rFonts w:cs="Arial"/>
          <w:bCs/>
          <w:szCs w:val="24"/>
        </w:rPr>
        <w:t>854</w:t>
      </w:r>
      <w:r w:rsidR="00957EA1" w:rsidRPr="00350DF4">
        <w:rPr>
          <w:rFonts w:cs="Arial"/>
          <w:bCs/>
          <w:szCs w:val="24"/>
        </w:rPr>
        <w:t>m</w:t>
      </w:r>
      <w:r w:rsidR="006C5584" w:rsidRPr="00350DF4">
        <w:rPr>
          <w:rFonts w:cs="Arial"/>
          <w:bCs/>
          <w:szCs w:val="24"/>
        </w:rPr>
        <w:t xml:space="preserve">. The </w:t>
      </w:r>
      <w:r w:rsidR="00350DF4" w:rsidRPr="00350DF4">
        <w:rPr>
          <w:rFonts w:cs="Arial"/>
          <w:bCs/>
          <w:szCs w:val="24"/>
        </w:rPr>
        <w:t>final outturn</w:t>
      </w:r>
      <w:r w:rsidR="006C5584" w:rsidRPr="00350DF4">
        <w:rPr>
          <w:rFonts w:cs="Arial"/>
          <w:bCs/>
          <w:szCs w:val="24"/>
        </w:rPr>
        <w:t xml:space="preserve"> position on the HRA capital budget at </w:t>
      </w:r>
      <w:r w:rsidR="00350DF4" w:rsidRPr="00350DF4">
        <w:rPr>
          <w:rFonts w:cs="Arial"/>
          <w:bCs/>
          <w:szCs w:val="24"/>
        </w:rPr>
        <w:t xml:space="preserve">the end of the financial </w:t>
      </w:r>
      <w:r w:rsidR="00350DF4" w:rsidRPr="00350DF4">
        <w:rPr>
          <w:rFonts w:cs="Arial"/>
          <w:bCs/>
          <w:szCs w:val="24"/>
        </w:rPr>
        <w:lastRenderedPageBreak/>
        <w:t>year</w:t>
      </w:r>
      <w:r w:rsidR="006C5584" w:rsidRPr="00350DF4">
        <w:rPr>
          <w:rFonts w:cs="Arial"/>
          <w:bCs/>
          <w:szCs w:val="24"/>
        </w:rPr>
        <w:t xml:space="preserve"> is </w:t>
      </w:r>
      <w:r w:rsidR="00CB02E1" w:rsidRPr="00350DF4">
        <w:rPr>
          <w:rFonts w:cs="Arial"/>
          <w:bCs/>
          <w:szCs w:val="24"/>
        </w:rPr>
        <w:t>£</w:t>
      </w:r>
      <w:r w:rsidR="00350DF4" w:rsidRPr="00350DF4">
        <w:rPr>
          <w:rFonts w:cs="Arial"/>
          <w:bCs/>
          <w:szCs w:val="24"/>
        </w:rPr>
        <w:t>14.989</w:t>
      </w:r>
      <w:r w:rsidR="00CB02E1" w:rsidRPr="00350DF4">
        <w:rPr>
          <w:rFonts w:cs="Arial"/>
          <w:bCs/>
          <w:szCs w:val="24"/>
        </w:rPr>
        <w:t>m</w:t>
      </w:r>
      <w:r w:rsidR="00957EA1" w:rsidRPr="00350DF4">
        <w:rPr>
          <w:rFonts w:cs="Arial"/>
          <w:bCs/>
          <w:szCs w:val="24"/>
        </w:rPr>
        <w:t xml:space="preserve"> </w:t>
      </w:r>
      <w:r w:rsidR="006C5584" w:rsidRPr="00350DF4">
        <w:rPr>
          <w:rFonts w:cs="Arial"/>
          <w:bCs/>
          <w:szCs w:val="24"/>
        </w:rPr>
        <w:t xml:space="preserve">which represents </w:t>
      </w:r>
      <w:r w:rsidR="00350DF4" w:rsidRPr="00350DF4">
        <w:rPr>
          <w:rFonts w:cs="Arial"/>
          <w:bCs/>
          <w:szCs w:val="24"/>
        </w:rPr>
        <w:t>28</w:t>
      </w:r>
      <w:r w:rsidR="006C5584" w:rsidRPr="00350DF4">
        <w:rPr>
          <w:rFonts w:cs="Arial"/>
          <w:bCs/>
          <w:szCs w:val="24"/>
        </w:rPr>
        <w:t xml:space="preserve">% of the total HRA capital </w:t>
      </w:r>
      <w:r w:rsidR="00751C64" w:rsidRPr="00350DF4">
        <w:rPr>
          <w:rFonts w:cs="Arial"/>
          <w:bCs/>
          <w:szCs w:val="24"/>
        </w:rPr>
        <w:t>programme</w:t>
      </w:r>
      <w:r w:rsidR="006C5584" w:rsidRPr="00350DF4">
        <w:rPr>
          <w:rFonts w:cs="Arial"/>
          <w:bCs/>
          <w:szCs w:val="24"/>
        </w:rPr>
        <w:t xml:space="preserve"> budget. The variance of £</w:t>
      </w:r>
      <w:r w:rsidR="00350DF4" w:rsidRPr="00350DF4">
        <w:rPr>
          <w:rFonts w:cs="Arial"/>
          <w:bCs/>
          <w:szCs w:val="24"/>
        </w:rPr>
        <w:t>37.866</w:t>
      </w:r>
      <w:r w:rsidR="00CB02E1" w:rsidRPr="00350DF4">
        <w:rPr>
          <w:rFonts w:cs="Arial"/>
          <w:bCs/>
          <w:szCs w:val="24"/>
        </w:rPr>
        <w:t>m</w:t>
      </w:r>
      <w:r w:rsidR="006C5584" w:rsidRPr="00350DF4">
        <w:rPr>
          <w:rFonts w:cs="Arial"/>
          <w:bCs/>
          <w:szCs w:val="24"/>
        </w:rPr>
        <w:t xml:space="preserve"> is made up of slippage of £</w:t>
      </w:r>
      <w:r w:rsidR="00350DF4" w:rsidRPr="00350DF4">
        <w:rPr>
          <w:rFonts w:cs="Arial"/>
          <w:bCs/>
          <w:szCs w:val="24"/>
        </w:rPr>
        <w:t>24.357m</w:t>
      </w:r>
      <w:r w:rsidR="006C5584" w:rsidRPr="00350DF4">
        <w:rPr>
          <w:rFonts w:cs="Arial"/>
          <w:bCs/>
          <w:szCs w:val="24"/>
        </w:rPr>
        <w:t xml:space="preserve"> and a net underspend of £</w:t>
      </w:r>
      <w:r w:rsidR="00CB02E1" w:rsidRPr="00350DF4">
        <w:rPr>
          <w:rFonts w:cs="Arial"/>
          <w:bCs/>
          <w:szCs w:val="24"/>
        </w:rPr>
        <w:t>13.</w:t>
      </w:r>
      <w:r w:rsidR="00350DF4" w:rsidRPr="00350DF4">
        <w:rPr>
          <w:rFonts w:cs="Arial"/>
          <w:bCs/>
          <w:szCs w:val="24"/>
        </w:rPr>
        <w:t>508</w:t>
      </w:r>
      <w:r w:rsidR="00CB02E1" w:rsidRPr="00350DF4">
        <w:rPr>
          <w:rFonts w:cs="Arial"/>
          <w:bCs/>
          <w:szCs w:val="24"/>
        </w:rPr>
        <w:t>m.</w:t>
      </w:r>
    </w:p>
    <w:p w14:paraId="1269AF86" w14:textId="7B7F7215" w:rsidR="00AC1FF2" w:rsidRDefault="00AC1FF2" w:rsidP="00044F9B">
      <w:pPr>
        <w:pStyle w:val="ListParagraph"/>
        <w:ind w:left="567"/>
        <w:contextualSpacing/>
        <w:jc w:val="both"/>
        <w:rPr>
          <w:rFonts w:cs="Arial"/>
          <w:color w:val="FF0000"/>
          <w:szCs w:val="24"/>
        </w:rPr>
      </w:pPr>
    </w:p>
    <w:p w14:paraId="7360CF00" w14:textId="77777777" w:rsidR="005475D3" w:rsidRPr="006160A2" w:rsidRDefault="00472810" w:rsidP="00AF06B3">
      <w:pPr>
        <w:pStyle w:val="ListParagraph"/>
        <w:numPr>
          <w:ilvl w:val="0"/>
          <w:numId w:val="4"/>
        </w:numPr>
        <w:ind w:left="567" w:hanging="567"/>
        <w:jc w:val="both"/>
        <w:rPr>
          <w:rFonts w:cs="Arial"/>
          <w:b/>
          <w:szCs w:val="24"/>
          <w:u w:val="single"/>
        </w:rPr>
      </w:pPr>
      <w:r w:rsidRPr="006160A2">
        <w:rPr>
          <w:rFonts w:cs="Arial"/>
          <w:b/>
          <w:szCs w:val="24"/>
          <w:u w:val="single"/>
        </w:rPr>
        <w:t>REVENUE MONITORING</w:t>
      </w:r>
    </w:p>
    <w:p w14:paraId="5DC5A216" w14:textId="77777777" w:rsidR="005475D3" w:rsidRPr="006160A2" w:rsidRDefault="005475D3" w:rsidP="005475D3">
      <w:pPr>
        <w:pStyle w:val="ListParagraph"/>
        <w:ind w:left="567"/>
        <w:jc w:val="both"/>
        <w:rPr>
          <w:rFonts w:cs="Arial"/>
          <w:b/>
          <w:szCs w:val="24"/>
          <w:u w:val="single"/>
        </w:rPr>
      </w:pPr>
    </w:p>
    <w:p w14:paraId="41F79D0C" w14:textId="18735C59" w:rsidR="00E971A9" w:rsidRPr="003A4B57" w:rsidRDefault="006160A2" w:rsidP="00787709">
      <w:pPr>
        <w:pStyle w:val="ListParagraph"/>
        <w:numPr>
          <w:ilvl w:val="1"/>
          <w:numId w:val="26"/>
        </w:numPr>
        <w:ind w:left="567" w:hanging="567"/>
        <w:contextualSpacing/>
        <w:jc w:val="both"/>
        <w:rPr>
          <w:rFonts w:cs="Arial"/>
          <w:szCs w:val="24"/>
        </w:rPr>
      </w:pPr>
      <w:r w:rsidRPr="006160A2">
        <w:rPr>
          <w:rFonts w:cs="Arial"/>
          <w:bCs/>
          <w:szCs w:val="24"/>
        </w:rPr>
        <w:t xml:space="preserve">The revenue </w:t>
      </w:r>
      <w:r w:rsidRPr="003A4B57">
        <w:rPr>
          <w:rFonts w:cs="Arial"/>
          <w:bCs/>
          <w:szCs w:val="24"/>
        </w:rPr>
        <w:t xml:space="preserve">outturn </w:t>
      </w:r>
      <w:r w:rsidR="0000581B">
        <w:rPr>
          <w:rFonts w:cs="Arial"/>
          <w:bCs/>
          <w:szCs w:val="24"/>
        </w:rPr>
        <w:t>position</w:t>
      </w:r>
      <w:r w:rsidRPr="003A4B57">
        <w:rPr>
          <w:rFonts w:cs="Arial"/>
          <w:bCs/>
          <w:szCs w:val="24"/>
        </w:rPr>
        <w:t xml:space="preserve"> is balanced following transfer </w:t>
      </w:r>
      <w:r w:rsidR="007235F3">
        <w:rPr>
          <w:rFonts w:cs="Arial"/>
          <w:bCs/>
          <w:szCs w:val="24"/>
        </w:rPr>
        <w:t>from</w:t>
      </w:r>
      <w:r w:rsidRPr="003A4B57">
        <w:rPr>
          <w:rFonts w:cs="Arial"/>
          <w:bCs/>
          <w:szCs w:val="24"/>
        </w:rPr>
        <w:t xml:space="preserve"> reserves. The summary of the outturn by each directorate is set out in Table 1.</w:t>
      </w:r>
    </w:p>
    <w:p w14:paraId="219378E0" w14:textId="0E14BDB6" w:rsidR="005475D3" w:rsidRPr="003A4B57" w:rsidRDefault="005475D3" w:rsidP="006A200B">
      <w:pPr>
        <w:jc w:val="both"/>
        <w:rPr>
          <w:rFonts w:cs="Arial"/>
          <w:bCs/>
          <w:szCs w:val="24"/>
        </w:rPr>
      </w:pPr>
    </w:p>
    <w:p w14:paraId="6F56DFA3" w14:textId="1CC5BB32" w:rsidR="0055673A" w:rsidRPr="003A4B57" w:rsidRDefault="00D122E9" w:rsidP="006A200B">
      <w:pPr>
        <w:jc w:val="both"/>
        <w:rPr>
          <w:rFonts w:cs="Arial"/>
          <w:b/>
          <w:szCs w:val="24"/>
          <w:u w:val="single"/>
        </w:rPr>
      </w:pPr>
      <w:r w:rsidRPr="003A4B57">
        <w:rPr>
          <w:rFonts w:cs="Arial"/>
          <w:b/>
          <w:szCs w:val="24"/>
          <w:u w:val="single"/>
        </w:rPr>
        <w:t xml:space="preserve">Table 1: Summary of Revenue Budget Monitoring – </w:t>
      </w:r>
      <w:r w:rsidR="006160A2" w:rsidRPr="003A4B57">
        <w:rPr>
          <w:rFonts w:cs="Arial"/>
          <w:b/>
          <w:szCs w:val="24"/>
          <w:u w:val="single"/>
        </w:rPr>
        <w:t>final outturn</w:t>
      </w:r>
      <w:r w:rsidR="00AE44D4" w:rsidRPr="003A4B57">
        <w:rPr>
          <w:rFonts w:cs="Arial"/>
          <w:b/>
          <w:szCs w:val="24"/>
          <w:u w:val="single"/>
        </w:rPr>
        <w:t xml:space="preserve"> </w:t>
      </w:r>
      <w:r w:rsidR="00B37833" w:rsidRPr="003A4B57">
        <w:rPr>
          <w:rFonts w:cs="Arial"/>
          <w:b/>
          <w:szCs w:val="24"/>
          <w:u w:val="single"/>
        </w:rPr>
        <w:t>202</w:t>
      </w:r>
      <w:r w:rsidR="00AE44D4" w:rsidRPr="003A4B57">
        <w:rPr>
          <w:rFonts w:cs="Arial"/>
          <w:b/>
          <w:szCs w:val="24"/>
          <w:u w:val="single"/>
        </w:rPr>
        <w:t>2</w:t>
      </w:r>
      <w:r w:rsidR="00B37833" w:rsidRPr="003A4B57">
        <w:rPr>
          <w:rFonts w:cs="Arial"/>
          <w:b/>
          <w:szCs w:val="24"/>
          <w:u w:val="single"/>
        </w:rPr>
        <w:t>-2</w:t>
      </w:r>
      <w:r w:rsidR="00AE44D4" w:rsidRPr="003A4B57">
        <w:rPr>
          <w:rFonts w:cs="Arial"/>
          <w:b/>
          <w:szCs w:val="24"/>
          <w:u w:val="single"/>
        </w:rPr>
        <w:t>3</w:t>
      </w:r>
    </w:p>
    <w:p w14:paraId="68AB30F9" w14:textId="0A82A90F" w:rsidR="003A4B57" w:rsidRDefault="003A4B57" w:rsidP="006A200B">
      <w:pPr>
        <w:jc w:val="both"/>
        <w:rPr>
          <w:rFonts w:cs="Arial"/>
          <w:b/>
          <w:color w:val="FF0000"/>
          <w:szCs w:val="24"/>
          <w:u w:val="single"/>
        </w:rPr>
      </w:pPr>
    </w:p>
    <w:p w14:paraId="55E1A978" w14:textId="56F9562D" w:rsidR="007C279A" w:rsidRPr="006160A2" w:rsidRDefault="00E2666F" w:rsidP="00E2666F">
      <w:pPr>
        <w:ind w:left="-851" w:hanging="142"/>
        <w:jc w:val="both"/>
        <w:rPr>
          <w:rFonts w:cs="Arial"/>
          <w:b/>
          <w:color w:val="FF0000"/>
          <w:szCs w:val="24"/>
        </w:rPr>
      </w:pPr>
      <w:bookmarkStart w:id="0" w:name="_Hlk48039303"/>
      <w:bookmarkStart w:id="1" w:name="_Hlk54352665"/>
      <w:bookmarkStart w:id="2" w:name="_Hlk62420623"/>
      <w:r w:rsidRPr="00E2666F">
        <w:rPr>
          <w:noProof/>
        </w:rPr>
        <w:drawing>
          <wp:inline distT="0" distB="0" distL="0" distR="0" wp14:anchorId="03D14233" wp14:editId="4B8BE003">
            <wp:extent cx="6762466" cy="257571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94790" cy="2588025"/>
                    </a:xfrm>
                    <a:prstGeom prst="rect">
                      <a:avLst/>
                    </a:prstGeom>
                    <a:noFill/>
                    <a:ln>
                      <a:noFill/>
                    </a:ln>
                  </pic:spPr>
                </pic:pic>
              </a:graphicData>
            </a:graphic>
          </wp:inline>
        </w:drawing>
      </w:r>
    </w:p>
    <w:p w14:paraId="28A8A88F" w14:textId="77777777" w:rsidR="00AC1FF2" w:rsidRDefault="00AC1FF2" w:rsidP="003C7F2F">
      <w:pPr>
        <w:jc w:val="both"/>
        <w:rPr>
          <w:rFonts w:cs="Arial"/>
          <w:b/>
          <w:szCs w:val="24"/>
        </w:rPr>
      </w:pPr>
    </w:p>
    <w:p w14:paraId="53392A62" w14:textId="69573410" w:rsidR="005933AB" w:rsidRDefault="005933AB" w:rsidP="003C7F2F">
      <w:pPr>
        <w:jc w:val="both"/>
        <w:rPr>
          <w:rFonts w:cs="Arial"/>
          <w:b/>
          <w:szCs w:val="24"/>
        </w:rPr>
      </w:pPr>
      <w:r w:rsidRPr="006160A2">
        <w:rPr>
          <w:rFonts w:cs="Arial"/>
          <w:b/>
          <w:szCs w:val="24"/>
        </w:rPr>
        <w:t>CHIEF EXECUTIVE</w:t>
      </w:r>
    </w:p>
    <w:p w14:paraId="5D3DE59F" w14:textId="77777777" w:rsidR="00567B16" w:rsidRPr="006160A2" w:rsidRDefault="00567B16" w:rsidP="003C7F2F">
      <w:pPr>
        <w:jc w:val="both"/>
        <w:rPr>
          <w:rFonts w:cs="Arial"/>
          <w:b/>
          <w:szCs w:val="24"/>
        </w:rPr>
      </w:pPr>
    </w:p>
    <w:p w14:paraId="724DCC0F" w14:textId="21F52DA2" w:rsidR="005933AB" w:rsidRDefault="005933AB" w:rsidP="005933AB">
      <w:pPr>
        <w:jc w:val="both"/>
        <w:rPr>
          <w:rFonts w:cs="Arial"/>
          <w:b/>
          <w:szCs w:val="24"/>
          <w:u w:val="single"/>
        </w:rPr>
      </w:pPr>
      <w:r w:rsidRPr="006160A2">
        <w:rPr>
          <w:rFonts w:cs="Arial"/>
          <w:b/>
          <w:szCs w:val="24"/>
          <w:u w:val="single"/>
        </w:rPr>
        <w:t>Table 2: Chief Executive F</w:t>
      </w:r>
      <w:r w:rsidR="006160A2" w:rsidRPr="006160A2">
        <w:rPr>
          <w:rFonts w:cs="Arial"/>
          <w:b/>
          <w:szCs w:val="24"/>
          <w:u w:val="single"/>
        </w:rPr>
        <w:t>inal</w:t>
      </w:r>
      <w:r w:rsidRPr="006160A2">
        <w:rPr>
          <w:rFonts w:cs="Arial"/>
          <w:b/>
          <w:szCs w:val="24"/>
          <w:u w:val="single"/>
        </w:rPr>
        <w:t xml:space="preserve"> Outturn 2022-23</w:t>
      </w:r>
    </w:p>
    <w:p w14:paraId="05CFE935" w14:textId="2CEB7E20" w:rsidR="008157EA" w:rsidRDefault="002F1CBE" w:rsidP="003A4B57">
      <w:pPr>
        <w:ind w:left="-284"/>
        <w:jc w:val="both"/>
        <w:rPr>
          <w:rFonts w:cs="Arial"/>
          <w:b/>
          <w:color w:val="FF0000"/>
          <w:szCs w:val="24"/>
        </w:rPr>
      </w:pPr>
      <w:r w:rsidRPr="002F1CBE">
        <w:rPr>
          <w:noProof/>
        </w:rPr>
        <w:drawing>
          <wp:inline distT="0" distB="0" distL="0" distR="0" wp14:anchorId="4CE3F133" wp14:editId="4000CC84">
            <wp:extent cx="6270923"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4598" cy="1867994"/>
                    </a:xfrm>
                    <a:prstGeom prst="rect">
                      <a:avLst/>
                    </a:prstGeom>
                    <a:noFill/>
                    <a:ln>
                      <a:noFill/>
                    </a:ln>
                  </pic:spPr>
                </pic:pic>
              </a:graphicData>
            </a:graphic>
          </wp:inline>
        </w:drawing>
      </w:r>
    </w:p>
    <w:p w14:paraId="0CE4A9CA" w14:textId="74D7915D" w:rsidR="008157EA" w:rsidRPr="002F1CBE" w:rsidRDefault="002F1CBE" w:rsidP="00932A82">
      <w:pPr>
        <w:pStyle w:val="ListParagraph"/>
        <w:numPr>
          <w:ilvl w:val="0"/>
          <w:numId w:val="4"/>
        </w:numPr>
        <w:ind w:left="567" w:hanging="567"/>
        <w:jc w:val="both"/>
        <w:rPr>
          <w:rFonts w:cs="Arial"/>
          <w:szCs w:val="24"/>
        </w:rPr>
      </w:pPr>
      <w:r w:rsidRPr="000447DD">
        <w:rPr>
          <w:rFonts w:cs="Arial"/>
          <w:szCs w:val="24"/>
        </w:rPr>
        <w:t xml:space="preserve">At the </w:t>
      </w:r>
      <w:r w:rsidRPr="002F1CBE">
        <w:rPr>
          <w:rFonts w:cs="Arial"/>
          <w:szCs w:val="24"/>
        </w:rPr>
        <w:t>end of the financial year the directorate</w:t>
      </w:r>
      <w:r w:rsidR="008157EA" w:rsidRPr="002F1CBE">
        <w:rPr>
          <w:rFonts w:cs="Arial"/>
          <w:szCs w:val="24"/>
        </w:rPr>
        <w:t xml:space="preserve"> is reporting a net underspend of </w:t>
      </w:r>
      <w:r w:rsidRPr="002F1CBE">
        <w:rPr>
          <w:rFonts w:cs="Arial"/>
          <w:szCs w:val="24"/>
        </w:rPr>
        <w:t>£1.886m</w:t>
      </w:r>
      <w:r w:rsidR="008157EA" w:rsidRPr="002F1CBE">
        <w:rPr>
          <w:rFonts w:cs="Arial"/>
          <w:szCs w:val="24"/>
        </w:rPr>
        <w:t xml:space="preserve"> after </w:t>
      </w:r>
      <w:proofErr w:type="gramStart"/>
      <w:r w:rsidR="008157EA" w:rsidRPr="002F1CBE">
        <w:rPr>
          <w:rFonts w:cs="Arial"/>
          <w:szCs w:val="24"/>
        </w:rPr>
        <w:t>draw</w:t>
      </w:r>
      <w:proofErr w:type="gramEnd"/>
      <w:r w:rsidR="008157EA" w:rsidRPr="002F1CBE">
        <w:rPr>
          <w:rFonts w:cs="Arial"/>
          <w:szCs w:val="24"/>
        </w:rPr>
        <w:t xml:space="preserve"> down from reserves</w:t>
      </w:r>
      <w:r w:rsidRPr="002F1CBE">
        <w:rPr>
          <w:rFonts w:cs="Arial"/>
          <w:szCs w:val="24"/>
        </w:rPr>
        <w:t xml:space="preserve"> and adjustment for carry forwards</w:t>
      </w:r>
      <w:r w:rsidR="008157EA" w:rsidRPr="002F1CBE">
        <w:rPr>
          <w:rFonts w:cs="Arial"/>
          <w:szCs w:val="24"/>
        </w:rPr>
        <w:t xml:space="preserve">. </w:t>
      </w:r>
    </w:p>
    <w:p w14:paraId="1511DC12" w14:textId="69345011" w:rsidR="002F1CBE" w:rsidRPr="002F1CBE" w:rsidRDefault="002F1CBE" w:rsidP="002F1CBE">
      <w:pPr>
        <w:pStyle w:val="ListParagraph"/>
        <w:ind w:left="567"/>
        <w:jc w:val="both"/>
        <w:rPr>
          <w:rFonts w:cs="Arial"/>
          <w:szCs w:val="24"/>
        </w:rPr>
      </w:pPr>
    </w:p>
    <w:p w14:paraId="6A9C2193" w14:textId="71A44431" w:rsidR="008157EA" w:rsidRDefault="008157EA" w:rsidP="008157EA">
      <w:pPr>
        <w:pStyle w:val="ListParagraph"/>
        <w:numPr>
          <w:ilvl w:val="0"/>
          <w:numId w:val="4"/>
        </w:numPr>
        <w:ind w:left="567" w:hanging="567"/>
        <w:jc w:val="both"/>
        <w:rPr>
          <w:rFonts w:cs="Arial"/>
          <w:szCs w:val="24"/>
        </w:rPr>
      </w:pPr>
      <w:r w:rsidRPr="002F1CBE">
        <w:rPr>
          <w:rFonts w:cs="Arial"/>
          <w:szCs w:val="24"/>
        </w:rPr>
        <w:t>The reserve movements are shown in Table 3</w:t>
      </w:r>
    </w:p>
    <w:p w14:paraId="3218DAD6" w14:textId="77777777" w:rsidR="00F75654" w:rsidRPr="00F75654" w:rsidRDefault="00F75654" w:rsidP="00F75654">
      <w:pPr>
        <w:pStyle w:val="ListParagraph"/>
        <w:rPr>
          <w:rFonts w:cs="Arial"/>
          <w:szCs w:val="24"/>
        </w:rPr>
      </w:pPr>
    </w:p>
    <w:p w14:paraId="45D9081B" w14:textId="77777777" w:rsidR="00F75654" w:rsidRPr="002F1CBE" w:rsidRDefault="00F75654" w:rsidP="00F75654">
      <w:pPr>
        <w:pStyle w:val="ListParagraph"/>
        <w:ind w:left="567"/>
        <w:jc w:val="both"/>
        <w:rPr>
          <w:rFonts w:cs="Arial"/>
          <w:szCs w:val="24"/>
        </w:rPr>
      </w:pPr>
    </w:p>
    <w:p w14:paraId="4F97C933" w14:textId="77777777" w:rsidR="00DA65B5" w:rsidRDefault="00DA65B5" w:rsidP="008157EA">
      <w:pPr>
        <w:jc w:val="both"/>
        <w:rPr>
          <w:rFonts w:cs="Arial"/>
          <w:b/>
          <w:bCs/>
          <w:szCs w:val="24"/>
          <w:u w:val="single"/>
        </w:rPr>
      </w:pPr>
    </w:p>
    <w:p w14:paraId="08788A14" w14:textId="77777777" w:rsidR="00922DD2" w:rsidRDefault="00922DD2" w:rsidP="008157EA">
      <w:pPr>
        <w:jc w:val="both"/>
        <w:rPr>
          <w:rFonts w:cs="Arial"/>
          <w:b/>
          <w:bCs/>
          <w:szCs w:val="24"/>
          <w:u w:val="single"/>
        </w:rPr>
      </w:pPr>
    </w:p>
    <w:p w14:paraId="244A169A" w14:textId="53809F9F" w:rsidR="008157EA" w:rsidRPr="002F1CBE" w:rsidRDefault="008157EA" w:rsidP="008157EA">
      <w:pPr>
        <w:jc w:val="both"/>
        <w:rPr>
          <w:rFonts w:cs="Arial"/>
          <w:b/>
          <w:bCs/>
          <w:szCs w:val="24"/>
          <w:u w:val="single"/>
        </w:rPr>
      </w:pPr>
      <w:r w:rsidRPr="002F1CBE">
        <w:rPr>
          <w:rFonts w:cs="Arial"/>
          <w:b/>
          <w:bCs/>
          <w:szCs w:val="24"/>
          <w:u w:val="single"/>
        </w:rPr>
        <w:lastRenderedPageBreak/>
        <w:t>Table 3: Chief Executive Reserve Movements 2022-23</w:t>
      </w:r>
    </w:p>
    <w:p w14:paraId="4951CBCA" w14:textId="77777777" w:rsidR="008157EA" w:rsidRPr="002F1CBE" w:rsidRDefault="008157EA" w:rsidP="008157EA">
      <w:pPr>
        <w:jc w:val="both"/>
        <w:rPr>
          <w:rFonts w:cs="Arial"/>
          <w:szCs w:val="24"/>
        </w:rPr>
      </w:pPr>
    </w:p>
    <w:tbl>
      <w:tblPr>
        <w:tblStyle w:val="TableGrid"/>
        <w:tblW w:w="0" w:type="auto"/>
        <w:tblLook w:val="04A0" w:firstRow="1" w:lastRow="0" w:firstColumn="1" w:lastColumn="0" w:noHBand="0" w:noVBand="1"/>
      </w:tblPr>
      <w:tblGrid>
        <w:gridCol w:w="6786"/>
        <w:gridCol w:w="2233"/>
      </w:tblGrid>
      <w:tr w:rsidR="002F1CBE" w:rsidRPr="002F1CBE" w14:paraId="075D17F3" w14:textId="77777777" w:rsidTr="008157EA">
        <w:tc>
          <w:tcPr>
            <w:tcW w:w="6786" w:type="dxa"/>
          </w:tcPr>
          <w:p w14:paraId="6203E6E9" w14:textId="77777777" w:rsidR="008157EA" w:rsidRPr="002F1CBE" w:rsidRDefault="008157EA" w:rsidP="00990F6C">
            <w:pPr>
              <w:jc w:val="both"/>
              <w:rPr>
                <w:rFonts w:cs="Arial"/>
                <w:b/>
                <w:bCs/>
                <w:sz w:val="20"/>
              </w:rPr>
            </w:pPr>
            <w:r w:rsidRPr="002F1CBE">
              <w:rPr>
                <w:b/>
                <w:bCs/>
                <w:sz w:val="20"/>
              </w:rPr>
              <w:t xml:space="preserve">Description </w:t>
            </w:r>
          </w:p>
        </w:tc>
        <w:tc>
          <w:tcPr>
            <w:tcW w:w="2233" w:type="dxa"/>
          </w:tcPr>
          <w:p w14:paraId="4ABE7360" w14:textId="77777777" w:rsidR="008157EA" w:rsidRPr="002F1CBE" w:rsidRDefault="008157EA" w:rsidP="00990F6C">
            <w:pPr>
              <w:jc w:val="both"/>
              <w:rPr>
                <w:rFonts w:cs="Arial"/>
                <w:b/>
                <w:bCs/>
                <w:sz w:val="20"/>
              </w:rPr>
            </w:pPr>
            <w:r w:rsidRPr="002F1CBE">
              <w:rPr>
                <w:b/>
                <w:bCs/>
                <w:sz w:val="20"/>
              </w:rPr>
              <w:t>Movement £’000</w:t>
            </w:r>
          </w:p>
        </w:tc>
      </w:tr>
      <w:tr w:rsidR="002F1CBE" w:rsidRPr="002F1CBE" w14:paraId="4436DCEC" w14:textId="77777777" w:rsidTr="008157EA">
        <w:tc>
          <w:tcPr>
            <w:tcW w:w="6786" w:type="dxa"/>
          </w:tcPr>
          <w:p w14:paraId="196C723D" w14:textId="77777777" w:rsidR="008157EA" w:rsidRPr="002F1CBE" w:rsidRDefault="008157EA" w:rsidP="00990F6C">
            <w:pPr>
              <w:jc w:val="both"/>
              <w:rPr>
                <w:rFonts w:cs="Arial"/>
                <w:sz w:val="20"/>
              </w:rPr>
            </w:pPr>
            <w:r w:rsidRPr="002F1CBE">
              <w:rPr>
                <w:sz w:val="20"/>
              </w:rPr>
              <w:t>Borough Election</w:t>
            </w:r>
          </w:p>
        </w:tc>
        <w:tc>
          <w:tcPr>
            <w:tcW w:w="2233" w:type="dxa"/>
          </w:tcPr>
          <w:p w14:paraId="70674109" w14:textId="7DD4B860" w:rsidR="008157EA" w:rsidRPr="002F1CBE" w:rsidRDefault="008157EA" w:rsidP="00990F6C">
            <w:pPr>
              <w:jc w:val="right"/>
              <w:rPr>
                <w:rFonts w:cs="Arial"/>
                <w:sz w:val="20"/>
              </w:rPr>
            </w:pPr>
            <w:r w:rsidRPr="002F1CBE">
              <w:rPr>
                <w:sz w:val="20"/>
              </w:rPr>
              <w:t>-4</w:t>
            </w:r>
            <w:r w:rsidR="002F1CBE" w:rsidRPr="002F1CBE">
              <w:rPr>
                <w:sz w:val="20"/>
              </w:rPr>
              <w:t>15</w:t>
            </w:r>
          </w:p>
        </w:tc>
      </w:tr>
      <w:tr w:rsidR="008157EA" w:rsidRPr="002F1CBE" w14:paraId="09E6CCE2" w14:textId="77777777" w:rsidTr="008157EA">
        <w:tc>
          <w:tcPr>
            <w:tcW w:w="6786" w:type="dxa"/>
          </w:tcPr>
          <w:p w14:paraId="629E4599" w14:textId="5105C9E6" w:rsidR="008157EA" w:rsidRPr="002F1CBE" w:rsidRDefault="00A31E33" w:rsidP="00990F6C">
            <w:pPr>
              <w:jc w:val="both"/>
              <w:rPr>
                <w:rFonts w:cs="Arial"/>
                <w:b/>
                <w:bCs/>
                <w:sz w:val="20"/>
              </w:rPr>
            </w:pPr>
            <w:r w:rsidRPr="002F1CBE">
              <w:rPr>
                <w:b/>
                <w:bCs/>
                <w:sz w:val="20"/>
              </w:rPr>
              <w:t>Chief Executive</w:t>
            </w:r>
            <w:r w:rsidR="008157EA" w:rsidRPr="002F1CBE">
              <w:rPr>
                <w:b/>
                <w:bCs/>
                <w:sz w:val="20"/>
              </w:rPr>
              <w:t xml:space="preserve"> net draw down</w:t>
            </w:r>
          </w:p>
        </w:tc>
        <w:tc>
          <w:tcPr>
            <w:tcW w:w="2233" w:type="dxa"/>
          </w:tcPr>
          <w:p w14:paraId="6CE0DF63" w14:textId="7E57465A" w:rsidR="008157EA" w:rsidRPr="002F1CBE" w:rsidRDefault="008157EA" w:rsidP="00990F6C">
            <w:pPr>
              <w:jc w:val="right"/>
              <w:rPr>
                <w:rFonts w:cs="Arial"/>
                <w:b/>
                <w:bCs/>
                <w:sz w:val="20"/>
              </w:rPr>
            </w:pPr>
            <w:r w:rsidRPr="002F1CBE">
              <w:rPr>
                <w:b/>
                <w:bCs/>
                <w:sz w:val="20"/>
              </w:rPr>
              <w:t>-</w:t>
            </w:r>
            <w:r w:rsidR="002F1CBE" w:rsidRPr="002F1CBE">
              <w:rPr>
                <w:b/>
                <w:bCs/>
                <w:sz w:val="20"/>
              </w:rPr>
              <w:t>415</w:t>
            </w:r>
          </w:p>
        </w:tc>
      </w:tr>
    </w:tbl>
    <w:p w14:paraId="7EB79CE7" w14:textId="77777777" w:rsidR="008157EA" w:rsidRPr="002F1CBE" w:rsidRDefault="008157EA" w:rsidP="008157EA">
      <w:pPr>
        <w:pStyle w:val="ListParagraph"/>
        <w:ind w:left="567"/>
        <w:jc w:val="both"/>
        <w:rPr>
          <w:rFonts w:cs="Arial"/>
          <w:szCs w:val="24"/>
        </w:rPr>
      </w:pPr>
    </w:p>
    <w:p w14:paraId="650B3789" w14:textId="3FB2B8B9" w:rsidR="008157EA" w:rsidRPr="002F1CBE" w:rsidRDefault="008157EA" w:rsidP="008157EA">
      <w:pPr>
        <w:pStyle w:val="ListParagraph"/>
        <w:numPr>
          <w:ilvl w:val="0"/>
          <w:numId w:val="4"/>
        </w:numPr>
        <w:ind w:left="567" w:hanging="567"/>
        <w:jc w:val="both"/>
        <w:rPr>
          <w:rFonts w:cs="Arial"/>
          <w:szCs w:val="24"/>
        </w:rPr>
      </w:pPr>
      <w:r w:rsidRPr="002F1CBE">
        <w:rPr>
          <w:rFonts w:cs="Arial"/>
          <w:szCs w:val="24"/>
        </w:rPr>
        <w:t xml:space="preserve">The net underspend of </w:t>
      </w:r>
      <w:r w:rsidR="002F1CBE" w:rsidRPr="002F1CBE">
        <w:rPr>
          <w:rFonts w:cs="Arial"/>
          <w:szCs w:val="24"/>
        </w:rPr>
        <w:t>£1.886m</w:t>
      </w:r>
      <w:r w:rsidRPr="002F1CBE">
        <w:rPr>
          <w:rFonts w:cs="Arial"/>
          <w:szCs w:val="24"/>
        </w:rPr>
        <w:t xml:space="preserve"> is</w:t>
      </w:r>
      <w:r w:rsidR="00083652" w:rsidRPr="002F1CBE">
        <w:rPr>
          <w:rFonts w:cs="Arial"/>
          <w:szCs w:val="24"/>
        </w:rPr>
        <w:t xml:space="preserve"> mainly</w:t>
      </w:r>
      <w:r w:rsidRPr="002F1CBE">
        <w:rPr>
          <w:rFonts w:cs="Arial"/>
          <w:szCs w:val="24"/>
        </w:rPr>
        <w:t xml:space="preserve"> made up as follows:</w:t>
      </w:r>
    </w:p>
    <w:p w14:paraId="6B729F2F" w14:textId="77777777" w:rsidR="00B30E97" w:rsidRPr="000447DD" w:rsidRDefault="00B30E97" w:rsidP="00B30E97">
      <w:pPr>
        <w:pStyle w:val="ListParagraph"/>
        <w:ind w:left="1418"/>
        <w:jc w:val="both"/>
        <w:rPr>
          <w:rFonts w:cs="Arial"/>
          <w:szCs w:val="24"/>
        </w:rPr>
      </w:pPr>
    </w:p>
    <w:p w14:paraId="7A5E7914" w14:textId="50CED83C" w:rsidR="008157EA" w:rsidRPr="000447DD" w:rsidRDefault="008157EA" w:rsidP="008157EA">
      <w:pPr>
        <w:pStyle w:val="ListParagraph"/>
        <w:numPr>
          <w:ilvl w:val="1"/>
          <w:numId w:val="4"/>
        </w:numPr>
        <w:ind w:left="1418" w:hanging="567"/>
        <w:jc w:val="both"/>
        <w:rPr>
          <w:rFonts w:cs="Arial"/>
          <w:szCs w:val="24"/>
        </w:rPr>
      </w:pPr>
      <w:r w:rsidRPr="000447DD">
        <w:rPr>
          <w:rFonts w:cs="Arial"/>
          <w:b/>
          <w:bCs/>
          <w:szCs w:val="24"/>
        </w:rPr>
        <w:t>Legal &amp; Governance</w:t>
      </w:r>
      <w:r w:rsidR="00FB1391" w:rsidRPr="000447DD">
        <w:rPr>
          <w:rFonts w:cs="Arial"/>
          <w:szCs w:val="24"/>
        </w:rPr>
        <w:t xml:space="preserve"> - £</w:t>
      </w:r>
      <w:r w:rsidR="002F1CBE" w:rsidRPr="000447DD">
        <w:rPr>
          <w:rFonts w:cs="Arial"/>
          <w:szCs w:val="24"/>
        </w:rPr>
        <w:t>1.245m</w:t>
      </w:r>
      <w:r w:rsidR="00FB1391" w:rsidRPr="000447DD">
        <w:rPr>
          <w:rFonts w:cs="Arial"/>
          <w:szCs w:val="24"/>
        </w:rPr>
        <w:t xml:space="preserve"> net underspend due to </w:t>
      </w:r>
      <w:r w:rsidRPr="000447DD">
        <w:rPr>
          <w:rFonts w:cs="Arial"/>
          <w:szCs w:val="24"/>
        </w:rPr>
        <w:t>£</w:t>
      </w:r>
      <w:r w:rsidR="00FB1391" w:rsidRPr="000447DD">
        <w:rPr>
          <w:rFonts w:cs="Arial"/>
          <w:szCs w:val="24"/>
        </w:rPr>
        <w:t>2</w:t>
      </w:r>
      <w:r w:rsidR="002F1CBE" w:rsidRPr="000447DD">
        <w:rPr>
          <w:rFonts w:cs="Arial"/>
          <w:szCs w:val="24"/>
        </w:rPr>
        <w:t>41</w:t>
      </w:r>
      <w:r w:rsidRPr="000447DD">
        <w:rPr>
          <w:rFonts w:cs="Arial"/>
          <w:szCs w:val="24"/>
        </w:rPr>
        <w:t>k additional income in Registration Services, £</w:t>
      </w:r>
      <w:r w:rsidR="002F1CBE" w:rsidRPr="000447DD">
        <w:rPr>
          <w:rFonts w:cs="Arial"/>
          <w:szCs w:val="24"/>
        </w:rPr>
        <w:t>216</w:t>
      </w:r>
      <w:r w:rsidRPr="000447DD">
        <w:rPr>
          <w:rFonts w:cs="Arial"/>
          <w:szCs w:val="24"/>
        </w:rPr>
        <w:t>k delayed recruitment in Democratic Services and £</w:t>
      </w:r>
      <w:r w:rsidR="002F1CBE" w:rsidRPr="000447DD">
        <w:rPr>
          <w:rFonts w:cs="Arial"/>
          <w:szCs w:val="24"/>
        </w:rPr>
        <w:t>788</w:t>
      </w:r>
      <w:r w:rsidRPr="000447DD">
        <w:rPr>
          <w:rFonts w:cs="Arial"/>
          <w:szCs w:val="24"/>
        </w:rPr>
        <w:t xml:space="preserve">k </w:t>
      </w:r>
      <w:r w:rsidR="00BF25AB">
        <w:rPr>
          <w:rFonts w:cs="Arial"/>
          <w:szCs w:val="24"/>
        </w:rPr>
        <w:t>increase</w:t>
      </w:r>
      <w:r w:rsidRPr="000447DD">
        <w:rPr>
          <w:rFonts w:cs="Arial"/>
          <w:szCs w:val="24"/>
        </w:rPr>
        <w:t xml:space="preserve"> in demand </w:t>
      </w:r>
      <w:r w:rsidR="002F1CBE" w:rsidRPr="000447DD">
        <w:rPr>
          <w:rFonts w:cs="Arial"/>
          <w:szCs w:val="24"/>
        </w:rPr>
        <w:t>for</w:t>
      </w:r>
      <w:r w:rsidRPr="000447DD">
        <w:rPr>
          <w:rFonts w:cs="Arial"/>
          <w:szCs w:val="24"/>
        </w:rPr>
        <w:t xml:space="preserve"> Legal Services</w:t>
      </w:r>
    </w:p>
    <w:p w14:paraId="7909D403" w14:textId="708366E8" w:rsidR="008157EA" w:rsidRPr="000447DD" w:rsidRDefault="008157EA" w:rsidP="008157EA">
      <w:pPr>
        <w:pStyle w:val="ListParagraph"/>
        <w:numPr>
          <w:ilvl w:val="1"/>
          <w:numId w:val="4"/>
        </w:numPr>
        <w:ind w:left="1418" w:hanging="567"/>
        <w:jc w:val="both"/>
        <w:rPr>
          <w:rFonts w:cs="Arial"/>
          <w:szCs w:val="24"/>
        </w:rPr>
      </w:pPr>
      <w:r w:rsidRPr="000447DD">
        <w:rPr>
          <w:rFonts w:cs="Arial"/>
          <w:b/>
          <w:bCs/>
          <w:szCs w:val="24"/>
        </w:rPr>
        <w:t>Internal Audit/CAFT</w:t>
      </w:r>
      <w:r w:rsidRPr="000447DD">
        <w:rPr>
          <w:rFonts w:cs="Arial"/>
          <w:szCs w:val="24"/>
        </w:rPr>
        <w:t xml:space="preserve"> - £</w:t>
      </w:r>
      <w:r w:rsidR="002F1CBE" w:rsidRPr="000447DD">
        <w:rPr>
          <w:rFonts w:cs="Arial"/>
          <w:szCs w:val="24"/>
        </w:rPr>
        <w:t>110</w:t>
      </w:r>
      <w:r w:rsidRPr="000447DD">
        <w:rPr>
          <w:rFonts w:cs="Arial"/>
          <w:szCs w:val="24"/>
        </w:rPr>
        <w:t>k underspend due to delayed recruitment</w:t>
      </w:r>
    </w:p>
    <w:p w14:paraId="644B668D" w14:textId="6E67679C" w:rsidR="000447DD" w:rsidRPr="000447DD" w:rsidRDefault="002F1CBE" w:rsidP="000447DD">
      <w:pPr>
        <w:pStyle w:val="ListParagraph"/>
        <w:numPr>
          <w:ilvl w:val="1"/>
          <w:numId w:val="4"/>
        </w:numPr>
        <w:ind w:left="1418" w:hanging="567"/>
        <w:jc w:val="both"/>
        <w:rPr>
          <w:rFonts w:cs="Arial"/>
          <w:szCs w:val="24"/>
        </w:rPr>
      </w:pPr>
      <w:r w:rsidRPr="000447DD">
        <w:rPr>
          <w:rFonts w:cs="Arial"/>
          <w:b/>
          <w:bCs/>
          <w:szCs w:val="24"/>
        </w:rPr>
        <w:t xml:space="preserve">Revenues &amp; Benefits </w:t>
      </w:r>
      <w:r w:rsidRPr="000447DD">
        <w:rPr>
          <w:rFonts w:cs="Arial"/>
          <w:szCs w:val="24"/>
        </w:rPr>
        <w:t xml:space="preserve">- £678k underspend due to £586k New Burdens funding in Revenues </w:t>
      </w:r>
      <w:r w:rsidR="000447DD" w:rsidRPr="000447DD">
        <w:rPr>
          <w:rFonts w:cs="Arial"/>
          <w:szCs w:val="24"/>
        </w:rPr>
        <w:t>and £81k underspend in Benefits due to delayed recruitment and additional grant income</w:t>
      </w:r>
    </w:p>
    <w:p w14:paraId="4544196C" w14:textId="77777777" w:rsidR="000447DD" w:rsidRDefault="000447DD" w:rsidP="000447DD">
      <w:pPr>
        <w:jc w:val="both"/>
        <w:rPr>
          <w:rFonts w:cs="Arial"/>
          <w:b/>
          <w:color w:val="FF0000"/>
          <w:szCs w:val="24"/>
        </w:rPr>
      </w:pPr>
    </w:p>
    <w:p w14:paraId="4F0ED9FC" w14:textId="10494D0F" w:rsidR="000447DD" w:rsidRDefault="000447DD" w:rsidP="000447DD">
      <w:pPr>
        <w:pStyle w:val="ListParagraph"/>
        <w:numPr>
          <w:ilvl w:val="0"/>
          <w:numId w:val="4"/>
        </w:numPr>
        <w:ind w:left="567" w:hanging="567"/>
        <w:jc w:val="both"/>
        <w:rPr>
          <w:rFonts w:cs="Arial"/>
          <w:szCs w:val="24"/>
        </w:rPr>
      </w:pPr>
      <w:r>
        <w:rPr>
          <w:rFonts w:cs="Arial"/>
          <w:szCs w:val="24"/>
        </w:rPr>
        <w:t>This is partially offset by pressures as follows</w:t>
      </w:r>
      <w:r w:rsidRPr="002F1CBE">
        <w:rPr>
          <w:rFonts w:cs="Arial"/>
          <w:szCs w:val="24"/>
        </w:rPr>
        <w:t>:</w:t>
      </w:r>
    </w:p>
    <w:p w14:paraId="6D3F9F68" w14:textId="77777777" w:rsidR="000447DD" w:rsidRPr="000447DD" w:rsidRDefault="000447DD" w:rsidP="000447DD">
      <w:pPr>
        <w:pStyle w:val="ListParagraph"/>
        <w:ind w:left="1418"/>
        <w:jc w:val="both"/>
        <w:rPr>
          <w:rFonts w:cs="Arial"/>
          <w:szCs w:val="24"/>
        </w:rPr>
      </w:pPr>
    </w:p>
    <w:p w14:paraId="5D13E986" w14:textId="481F20F1" w:rsidR="000447DD" w:rsidRDefault="000447DD" w:rsidP="000447DD">
      <w:pPr>
        <w:pStyle w:val="ListParagraph"/>
        <w:numPr>
          <w:ilvl w:val="1"/>
          <w:numId w:val="4"/>
        </w:numPr>
        <w:ind w:left="1418" w:hanging="567"/>
        <w:jc w:val="both"/>
        <w:rPr>
          <w:rFonts w:cs="Arial"/>
          <w:szCs w:val="24"/>
        </w:rPr>
      </w:pPr>
      <w:r w:rsidRPr="000447DD">
        <w:rPr>
          <w:rFonts w:cs="Arial"/>
          <w:b/>
          <w:bCs/>
          <w:szCs w:val="24"/>
        </w:rPr>
        <w:t>Finance &amp; Insurance</w:t>
      </w:r>
      <w:r>
        <w:rPr>
          <w:rFonts w:cs="Arial"/>
          <w:szCs w:val="24"/>
        </w:rPr>
        <w:t xml:space="preserve"> - £156k net overspend due to loss of insurance income from schools £219k offset by various other underspends across the service £63k</w:t>
      </w:r>
    </w:p>
    <w:p w14:paraId="48E0141F" w14:textId="011CC786" w:rsidR="000447DD" w:rsidRPr="002F1CBE" w:rsidRDefault="000447DD" w:rsidP="000447DD">
      <w:pPr>
        <w:pStyle w:val="ListParagraph"/>
        <w:numPr>
          <w:ilvl w:val="1"/>
          <w:numId w:val="4"/>
        </w:numPr>
        <w:ind w:left="1418" w:hanging="567"/>
        <w:jc w:val="both"/>
        <w:rPr>
          <w:rFonts w:cs="Arial"/>
          <w:szCs w:val="24"/>
        </w:rPr>
      </w:pPr>
      <w:r w:rsidRPr="000447DD">
        <w:rPr>
          <w:rFonts w:cs="Arial"/>
          <w:b/>
          <w:bCs/>
          <w:szCs w:val="24"/>
        </w:rPr>
        <w:t xml:space="preserve">CEO </w:t>
      </w:r>
      <w:r>
        <w:rPr>
          <w:rFonts w:cs="Arial"/>
          <w:szCs w:val="24"/>
        </w:rPr>
        <w:t xml:space="preserve">- £39k net overspend </w:t>
      </w:r>
    </w:p>
    <w:p w14:paraId="07CD72FD" w14:textId="17B60FA4" w:rsidR="000447DD" w:rsidRDefault="000447DD" w:rsidP="000447DD">
      <w:pPr>
        <w:pStyle w:val="ListParagraph"/>
        <w:ind w:left="1418"/>
        <w:jc w:val="both"/>
        <w:rPr>
          <w:rFonts w:cs="Arial"/>
          <w:color w:val="FF0000"/>
          <w:szCs w:val="24"/>
        </w:rPr>
      </w:pPr>
    </w:p>
    <w:p w14:paraId="3E82C285" w14:textId="396D4E25" w:rsidR="00AC1FF2" w:rsidRDefault="00AC1FF2" w:rsidP="000447DD">
      <w:pPr>
        <w:pStyle w:val="ListParagraph"/>
        <w:ind w:left="1418"/>
        <w:jc w:val="both"/>
        <w:rPr>
          <w:rFonts w:cs="Arial"/>
          <w:color w:val="FF0000"/>
          <w:szCs w:val="24"/>
        </w:rPr>
      </w:pPr>
    </w:p>
    <w:p w14:paraId="3B1C1755" w14:textId="7E82AC3B" w:rsidR="00F608F4" w:rsidRPr="006524EA" w:rsidRDefault="00F608F4" w:rsidP="003C7F2F">
      <w:pPr>
        <w:jc w:val="both"/>
        <w:rPr>
          <w:rFonts w:cs="Arial"/>
          <w:b/>
          <w:szCs w:val="24"/>
        </w:rPr>
      </w:pPr>
      <w:r w:rsidRPr="006524EA">
        <w:rPr>
          <w:rFonts w:cs="Arial"/>
          <w:b/>
          <w:szCs w:val="24"/>
        </w:rPr>
        <w:t>RESOURCES</w:t>
      </w:r>
      <w:r w:rsidR="00094111" w:rsidRPr="006524EA">
        <w:rPr>
          <w:rFonts w:cs="Arial"/>
          <w:b/>
          <w:szCs w:val="24"/>
        </w:rPr>
        <w:t xml:space="preserve">  </w:t>
      </w:r>
    </w:p>
    <w:p w14:paraId="233F0938" w14:textId="44516390" w:rsidR="00007FDF" w:rsidRPr="006524EA" w:rsidRDefault="00007FDF" w:rsidP="00007FDF">
      <w:pPr>
        <w:jc w:val="both"/>
        <w:rPr>
          <w:rFonts w:cs="Arial"/>
          <w:b/>
          <w:szCs w:val="24"/>
        </w:rPr>
      </w:pPr>
    </w:p>
    <w:p w14:paraId="01656A53" w14:textId="564724A9" w:rsidR="00007FDF" w:rsidRPr="006524EA" w:rsidRDefault="00D665EB" w:rsidP="00007FDF">
      <w:pPr>
        <w:jc w:val="both"/>
        <w:rPr>
          <w:rFonts w:cs="Arial"/>
          <w:b/>
          <w:szCs w:val="24"/>
          <w:u w:val="single"/>
        </w:rPr>
      </w:pPr>
      <w:r w:rsidRPr="006524EA">
        <w:rPr>
          <w:rFonts w:cs="Arial"/>
          <w:b/>
          <w:szCs w:val="24"/>
          <w:u w:val="single"/>
        </w:rPr>
        <w:t xml:space="preserve">Table </w:t>
      </w:r>
      <w:r w:rsidR="008157EA" w:rsidRPr="006524EA">
        <w:rPr>
          <w:rFonts w:cs="Arial"/>
          <w:b/>
          <w:szCs w:val="24"/>
          <w:u w:val="single"/>
        </w:rPr>
        <w:t>4</w:t>
      </w:r>
      <w:r w:rsidRPr="006524EA">
        <w:rPr>
          <w:rFonts w:cs="Arial"/>
          <w:b/>
          <w:szCs w:val="24"/>
          <w:u w:val="single"/>
        </w:rPr>
        <w:t>: Resources Outturn</w:t>
      </w:r>
      <w:r w:rsidR="00AE44D4" w:rsidRPr="006524EA">
        <w:rPr>
          <w:rFonts w:cs="Arial"/>
          <w:b/>
          <w:szCs w:val="24"/>
          <w:u w:val="single"/>
        </w:rPr>
        <w:t xml:space="preserve"> </w:t>
      </w:r>
      <w:r w:rsidRPr="006524EA">
        <w:rPr>
          <w:rFonts w:cs="Arial"/>
          <w:b/>
          <w:szCs w:val="24"/>
          <w:u w:val="single"/>
        </w:rPr>
        <w:t>202</w:t>
      </w:r>
      <w:r w:rsidR="00AE44D4" w:rsidRPr="006524EA">
        <w:rPr>
          <w:rFonts w:cs="Arial"/>
          <w:b/>
          <w:szCs w:val="24"/>
          <w:u w:val="single"/>
        </w:rPr>
        <w:t>2</w:t>
      </w:r>
      <w:r w:rsidRPr="006524EA">
        <w:rPr>
          <w:rFonts w:cs="Arial"/>
          <w:b/>
          <w:szCs w:val="24"/>
          <w:u w:val="single"/>
        </w:rPr>
        <w:t>-2</w:t>
      </w:r>
      <w:r w:rsidR="00AE44D4" w:rsidRPr="006524EA">
        <w:rPr>
          <w:rFonts w:cs="Arial"/>
          <w:b/>
          <w:szCs w:val="24"/>
          <w:u w:val="single"/>
        </w:rPr>
        <w:t>3</w:t>
      </w:r>
    </w:p>
    <w:p w14:paraId="025650AC" w14:textId="77777777" w:rsidR="006524EA" w:rsidRPr="006160A2" w:rsidRDefault="006524EA" w:rsidP="00007FDF">
      <w:pPr>
        <w:jc w:val="both"/>
        <w:rPr>
          <w:rFonts w:cs="Arial"/>
          <w:b/>
          <w:color w:val="FF0000"/>
          <w:szCs w:val="24"/>
          <w:u w:val="single"/>
        </w:rPr>
      </w:pPr>
    </w:p>
    <w:p w14:paraId="3E324DF4" w14:textId="5955D296" w:rsidR="00007FDF" w:rsidRPr="006160A2" w:rsidRDefault="006524EA" w:rsidP="00007FDF">
      <w:pPr>
        <w:jc w:val="both"/>
        <w:rPr>
          <w:rFonts w:cs="Arial"/>
          <w:b/>
          <w:color w:val="FF0000"/>
          <w:szCs w:val="24"/>
        </w:rPr>
      </w:pPr>
      <w:r w:rsidRPr="006524EA">
        <w:rPr>
          <w:noProof/>
        </w:rPr>
        <w:drawing>
          <wp:inline distT="0" distB="0" distL="0" distR="0" wp14:anchorId="5ECCC700" wp14:editId="214011A4">
            <wp:extent cx="6249593" cy="18605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2517" cy="1861421"/>
                    </a:xfrm>
                    <a:prstGeom prst="rect">
                      <a:avLst/>
                    </a:prstGeom>
                    <a:noFill/>
                    <a:ln>
                      <a:noFill/>
                    </a:ln>
                  </pic:spPr>
                </pic:pic>
              </a:graphicData>
            </a:graphic>
          </wp:inline>
        </w:drawing>
      </w:r>
    </w:p>
    <w:p w14:paraId="1D5725FE" w14:textId="77777777" w:rsidR="00083652" w:rsidRPr="006160A2" w:rsidRDefault="00083652" w:rsidP="00083652">
      <w:pPr>
        <w:pStyle w:val="ListParagraph"/>
        <w:ind w:left="567"/>
        <w:jc w:val="both"/>
        <w:rPr>
          <w:rFonts w:cs="Arial"/>
          <w:color w:val="FF0000"/>
          <w:szCs w:val="24"/>
        </w:rPr>
      </w:pPr>
    </w:p>
    <w:p w14:paraId="6B5AA79B" w14:textId="312875EC" w:rsidR="008941C6" w:rsidRPr="004901D3" w:rsidRDefault="006524EA" w:rsidP="00AF06B3">
      <w:pPr>
        <w:pStyle w:val="ListParagraph"/>
        <w:numPr>
          <w:ilvl w:val="0"/>
          <w:numId w:val="4"/>
        </w:numPr>
        <w:ind w:left="567" w:hanging="567"/>
        <w:jc w:val="both"/>
        <w:rPr>
          <w:rFonts w:cs="Arial"/>
          <w:szCs w:val="24"/>
        </w:rPr>
      </w:pPr>
      <w:r w:rsidRPr="004901D3">
        <w:rPr>
          <w:rFonts w:cs="Arial"/>
          <w:szCs w:val="24"/>
        </w:rPr>
        <w:t>At the end of the financial year the directorate is reporting a net overspend of £181k.</w:t>
      </w:r>
    </w:p>
    <w:p w14:paraId="3B7B3141" w14:textId="77777777" w:rsidR="004901D3" w:rsidRPr="004901D3" w:rsidRDefault="004901D3" w:rsidP="004901D3">
      <w:pPr>
        <w:jc w:val="both"/>
        <w:rPr>
          <w:rFonts w:cs="Arial"/>
          <w:szCs w:val="24"/>
        </w:rPr>
      </w:pPr>
    </w:p>
    <w:p w14:paraId="4B2D4492" w14:textId="666AD2BB" w:rsidR="00B83B56" w:rsidRDefault="00B83B56" w:rsidP="00AF06B3">
      <w:pPr>
        <w:pStyle w:val="ListParagraph"/>
        <w:numPr>
          <w:ilvl w:val="0"/>
          <w:numId w:val="4"/>
        </w:numPr>
        <w:ind w:left="567" w:hanging="567"/>
        <w:jc w:val="both"/>
        <w:rPr>
          <w:rFonts w:cs="Arial"/>
          <w:szCs w:val="24"/>
        </w:rPr>
      </w:pPr>
      <w:r w:rsidRPr="004901D3">
        <w:rPr>
          <w:rFonts w:cs="Arial"/>
          <w:szCs w:val="24"/>
        </w:rPr>
        <w:t xml:space="preserve">The reserve movements are shown in Table </w:t>
      </w:r>
      <w:r w:rsidR="00A31E33" w:rsidRPr="004901D3">
        <w:rPr>
          <w:rFonts w:cs="Arial"/>
          <w:szCs w:val="24"/>
        </w:rPr>
        <w:t>5</w:t>
      </w:r>
    </w:p>
    <w:p w14:paraId="04C34085" w14:textId="77777777" w:rsidR="00F75654" w:rsidRPr="00F75654" w:rsidRDefault="00F75654" w:rsidP="00F75654">
      <w:pPr>
        <w:pStyle w:val="ListParagraph"/>
        <w:rPr>
          <w:rFonts w:cs="Arial"/>
          <w:szCs w:val="24"/>
        </w:rPr>
      </w:pPr>
    </w:p>
    <w:p w14:paraId="2B235010" w14:textId="3512BAFD" w:rsidR="00F75654" w:rsidRDefault="00F75654" w:rsidP="00F75654">
      <w:pPr>
        <w:jc w:val="both"/>
        <w:rPr>
          <w:rFonts w:cs="Arial"/>
          <w:szCs w:val="24"/>
        </w:rPr>
      </w:pPr>
    </w:p>
    <w:p w14:paraId="2A9C469E" w14:textId="484DD28C" w:rsidR="00F75654" w:rsidRDefault="00F75654" w:rsidP="00F75654">
      <w:pPr>
        <w:jc w:val="both"/>
        <w:rPr>
          <w:rFonts w:cs="Arial"/>
          <w:szCs w:val="24"/>
        </w:rPr>
      </w:pPr>
    </w:p>
    <w:p w14:paraId="6C9312B5" w14:textId="77777777" w:rsidR="00F75654" w:rsidRPr="00F75654" w:rsidRDefault="00F75654" w:rsidP="00F75654">
      <w:pPr>
        <w:jc w:val="both"/>
        <w:rPr>
          <w:rFonts w:cs="Arial"/>
          <w:szCs w:val="24"/>
        </w:rPr>
      </w:pPr>
    </w:p>
    <w:p w14:paraId="61F14A9D" w14:textId="77777777" w:rsidR="00922DD2" w:rsidRDefault="00922DD2" w:rsidP="00B83B56">
      <w:pPr>
        <w:jc w:val="both"/>
        <w:rPr>
          <w:rFonts w:cs="Arial"/>
          <w:b/>
          <w:bCs/>
          <w:szCs w:val="24"/>
          <w:u w:val="single"/>
        </w:rPr>
      </w:pPr>
    </w:p>
    <w:p w14:paraId="2B4FF76F" w14:textId="1355E9A6" w:rsidR="00B83B56" w:rsidRPr="006160A2" w:rsidRDefault="00B83B56" w:rsidP="00B83B56">
      <w:pPr>
        <w:jc w:val="both"/>
        <w:rPr>
          <w:rFonts w:cs="Arial"/>
          <w:b/>
          <w:bCs/>
          <w:color w:val="FF0000"/>
          <w:szCs w:val="24"/>
          <w:u w:val="single"/>
        </w:rPr>
      </w:pPr>
      <w:r w:rsidRPr="004901D3">
        <w:rPr>
          <w:rFonts w:cs="Arial"/>
          <w:b/>
          <w:bCs/>
          <w:szCs w:val="24"/>
          <w:u w:val="single"/>
        </w:rPr>
        <w:lastRenderedPageBreak/>
        <w:t xml:space="preserve">Table </w:t>
      </w:r>
      <w:r w:rsidR="00A31E33" w:rsidRPr="004901D3">
        <w:rPr>
          <w:rFonts w:cs="Arial"/>
          <w:b/>
          <w:bCs/>
          <w:szCs w:val="24"/>
          <w:u w:val="single"/>
        </w:rPr>
        <w:t>5</w:t>
      </w:r>
      <w:r w:rsidRPr="004901D3">
        <w:rPr>
          <w:rFonts w:cs="Arial"/>
          <w:b/>
          <w:bCs/>
          <w:szCs w:val="24"/>
          <w:u w:val="single"/>
        </w:rPr>
        <w:t>: Resources Reserve Movements 2022-23</w:t>
      </w:r>
    </w:p>
    <w:p w14:paraId="194C7BF6" w14:textId="263C50DB" w:rsidR="00B83B56" w:rsidRPr="006160A2" w:rsidRDefault="00B83B56" w:rsidP="00B83B56">
      <w:pPr>
        <w:jc w:val="both"/>
        <w:rPr>
          <w:rFonts w:cs="Arial"/>
          <w:color w:val="FF0000"/>
          <w:szCs w:val="24"/>
        </w:rPr>
      </w:pPr>
    </w:p>
    <w:tbl>
      <w:tblPr>
        <w:tblStyle w:val="TableGrid"/>
        <w:tblW w:w="0" w:type="auto"/>
        <w:tblLook w:val="04A0" w:firstRow="1" w:lastRow="0" w:firstColumn="1" w:lastColumn="0" w:noHBand="0" w:noVBand="1"/>
      </w:tblPr>
      <w:tblGrid>
        <w:gridCol w:w="6786"/>
        <w:gridCol w:w="2233"/>
      </w:tblGrid>
      <w:tr w:rsidR="004901D3" w:rsidRPr="004901D3" w14:paraId="3015A182" w14:textId="77777777" w:rsidTr="00A31E33">
        <w:tc>
          <w:tcPr>
            <w:tcW w:w="6786" w:type="dxa"/>
          </w:tcPr>
          <w:p w14:paraId="474A10D4" w14:textId="14587AB6" w:rsidR="00B83B56" w:rsidRPr="004901D3" w:rsidRDefault="00B83B56" w:rsidP="00B83B56">
            <w:pPr>
              <w:jc w:val="both"/>
              <w:rPr>
                <w:rFonts w:cs="Arial"/>
                <w:b/>
                <w:bCs/>
                <w:sz w:val="20"/>
              </w:rPr>
            </w:pPr>
            <w:r w:rsidRPr="004901D3">
              <w:rPr>
                <w:b/>
                <w:bCs/>
                <w:sz w:val="20"/>
              </w:rPr>
              <w:t xml:space="preserve">Description </w:t>
            </w:r>
          </w:p>
        </w:tc>
        <w:tc>
          <w:tcPr>
            <w:tcW w:w="2233" w:type="dxa"/>
          </w:tcPr>
          <w:p w14:paraId="7F746A0E" w14:textId="3904B131" w:rsidR="00B83B56" w:rsidRPr="004901D3" w:rsidRDefault="00B83B56" w:rsidP="00B83B56">
            <w:pPr>
              <w:jc w:val="both"/>
              <w:rPr>
                <w:rFonts w:cs="Arial"/>
                <w:b/>
                <w:bCs/>
                <w:sz w:val="20"/>
              </w:rPr>
            </w:pPr>
            <w:r w:rsidRPr="004901D3">
              <w:rPr>
                <w:b/>
                <w:bCs/>
                <w:sz w:val="20"/>
              </w:rPr>
              <w:t>Movement £’000</w:t>
            </w:r>
          </w:p>
        </w:tc>
      </w:tr>
      <w:tr w:rsidR="004901D3" w:rsidRPr="004901D3" w14:paraId="6B8A2EDC" w14:textId="77777777" w:rsidTr="00A31E33">
        <w:tc>
          <w:tcPr>
            <w:tcW w:w="6786" w:type="dxa"/>
          </w:tcPr>
          <w:p w14:paraId="41E05167" w14:textId="6295DF7D" w:rsidR="00B83B56" w:rsidRPr="004901D3" w:rsidRDefault="00B83B56" w:rsidP="00B83B56">
            <w:pPr>
              <w:jc w:val="both"/>
              <w:rPr>
                <w:rFonts w:cs="Arial"/>
                <w:sz w:val="20"/>
              </w:rPr>
            </w:pPr>
            <w:r w:rsidRPr="004901D3">
              <w:rPr>
                <w:sz w:val="20"/>
              </w:rPr>
              <w:t>Business Risk Reserve</w:t>
            </w:r>
          </w:p>
        </w:tc>
        <w:tc>
          <w:tcPr>
            <w:tcW w:w="2233" w:type="dxa"/>
          </w:tcPr>
          <w:p w14:paraId="559FB907" w14:textId="1E4216C9" w:rsidR="00B83B56" w:rsidRPr="004901D3" w:rsidRDefault="00B83B56" w:rsidP="00B83B56">
            <w:pPr>
              <w:jc w:val="right"/>
              <w:rPr>
                <w:rFonts w:cs="Arial"/>
                <w:sz w:val="20"/>
              </w:rPr>
            </w:pPr>
            <w:r w:rsidRPr="004901D3">
              <w:rPr>
                <w:sz w:val="20"/>
              </w:rPr>
              <w:t>-</w:t>
            </w:r>
            <w:r w:rsidR="00A31E33" w:rsidRPr="004901D3">
              <w:rPr>
                <w:sz w:val="20"/>
              </w:rPr>
              <w:t>2</w:t>
            </w:r>
            <w:r w:rsidR="004901D3" w:rsidRPr="004901D3">
              <w:rPr>
                <w:sz w:val="20"/>
              </w:rPr>
              <w:t>55</w:t>
            </w:r>
          </w:p>
        </w:tc>
      </w:tr>
      <w:tr w:rsidR="004901D3" w:rsidRPr="004901D3" w14:paraId="589188F9" w14:textId="77777777" w:rsidTr="00A31E33">
        <w:tc>
          <w:tcPr>
            <w:tcW w:w="6786" w:type="dxa"/>
          </w:tcPr>
          <w:p w14:paraId="2F34AEA6" w14:textId="14BD3843" w:rsidR="00B83B56" w:rsidRPr="004901D3" w:rsidRDefault="00B83B56" w:rsidP="00B83B56">
            <w:pPr>
              <w:jc w:val="both"/>
              <w:rPr>
                <w:rFonts w:cs="Arial"/>
                <w:sz w:val="20"/>
              </w:rPr>
            </w:pPr>
            <w:r w:rsidRPr="004901D3">
              <w:rPr>
                <w:sz w:val="20"/>
              </w:rPr>
              <w:t>Capacity Build/ Transformation Reserve</w:t>
            </w:r>
          </w:p>
        </w:tc>
        <w:tc>
          <w:tcPr>
            <w:tcW w:w="2233" w:type="dxa"/>
          </w:tcPr>
          <w:p w14:paraId="131CF28B" w14:textId="03513830" w:rsidR="00B83B56" w:rsidRPr="004901D3" w:rsidRDefault="00B83B56" w:rsidP="00B83B56">
            <w:pPr>
              <w:jc w:val="right"/>
              <w:rPr>
                <w:rFonts w:cs="Arial"/>
                <w:sz w:val="20"/>
              </w:rPr>
            </w:pPr>
            <w:r w:rsidRPr="004901D3">
              <w:rPr>
                <w:sz w:val="20"/>
              </w:rPr>
              <w:t>-</w:t>
            </w:r>
            <w:r w:rsidR="00A31E33" w:rsidRPr="004901D3">
              <w:rPr>
                <w:sz w:val="20"/>
              </w:rPr>
              <w:t>1,</w:t>
            </w:r>
            <w:r w:rsidR="004901D3" w:rsidRPr="004901D3">
              <w:rPr>
                <w:sz w:val="20"/>
              </w:rPr>
              <w:t>238</w:t>
            </w:r>
          </w:p>
        </w:tc>
      </w:tr>
      <w:tr w:rsidR="004901D3" w:rsidRPr="004901D3" w14:paraId="7D6423B2" w14:textId="77777777" w:rsidTr="00A31E33">
        <w:tc>
          <w:tcPr>
            <w:tcW w:w="6786" w:type="dxa"/>
          </w:tcPr>
          <w:p w14:paraId="692BD339" w14:textId="4153647F" w:rsidR="004901D3" w:rsidRPr="004901D3" w:rsidRDefault="004901D3" w:rsidP="00B83B56">
            <w:pPr>
              <w:jc w:val="both"/>
              <w:rPr>
                <w:sz w:val="20"/>
              </w:rPr>
            </w:pPr>
            <w:r w:rsidRPr="004901D3">
              <w:rPr>
                <w:sz w:val="20"/>
              </w:rPr>
              <w:t xml:space="preserve">Accommodation Strategy Reserve </w:t>
            </w:r>
          </w:p>
        </w:tc>
        <w:tc>
          <w:tcPr>
            <w:tcW w:w="2233" w:type="dxa"/>
          </w:tcPr>
          <w:p w14:paraId="515322A0" w14:textId="3FCC0D84" w:rsidR="004901D3" w:rsidRPr="004901D3" w:rsidRDefault="004901D3" w:rsidP="00B83B56">
            <w:pPr>
              <w:jc w:val="right"/>
              <w:rPr>
                <w:sz w:val="20"/>
              </w:rPr>
            </w:pPr>
            <w:r w:rsidRPr="004901D3">
              <w:rPr>
                <w:sz w:val="20"/>
              </w:rPr>
              <w:t>-91</w:t>
            </w:r>
          </w:p>
        </w:tc>
      </w:tr>
      <w:tr w:rsidR="004901D3" w:rsidRPr="004901D3" w14:paraId="42CE2BB6" w14:textId="77777777" w:rsidTr="00A31E33">
        <w:tc>
          <w:tcPr>
            <w:tcW w:w="6786" w:type="dxa"/>
          </w:tcPr>
          <w:p w14:paraId="6240A76D" w14:textId="14323270" w:rsidR="00B83B56" w:rsidRPr="004901D3" w:rsidRDefault="00B83B56" w:rsidP="00B83B56">
            <w:pPr>
              <w:jc w:val="both"/>
              <w:rPr>
                <w:rFonts w:cs="Arial"/>
                <w:sz w:val="20"/>
              </w:rPr>
            </w:pPr>
            <w:r w:rsidRPr="004901D3">
              <w:rPr>
                <w:sz w:val="20"/>
              </w:rPr>
              <w:t>Equalities Diversity &amp; Inclusion Reserve</w:t>
            </w:r>
          </w:p>
        </w:tc>
        <w:tc>
          <w:tcPr>
            <w:tcW w:w="2233" w:type="dxa"/>
          </w:tcPr>
          <w:p w14:paraId="6563DACF" w14:textId="6ACA9EAC" w:rsidR="00B83B56" w:rsidRPr="004901D3" w:rsidRDefault="00B83B56" w:rsidP="00B83B56">
            <w:pPr>
              <w:jc w:val="right"/>
              <w:rPr>
                <w:rFonts w:cs="Arial"/>
                <w:sz w:val="20"/>
              </w:rPr>
            </w:pPr>
            <w:r w:rsidRPr="004901D3">
              <w:rPr>
                <w:sz w:val="20"/>
              </w:rPr>
              <w:t>-</w:t>
            </w:r>
            <w:r w:rsidR="00083652" w:rsidRPr="004901D3">
              <w:rPr>
                <w:sz w:val="20"/>
              </w:rPr>
              <w:t>76</w:t>
            </w:r>
          </w:p>
        </w:tc>
      </w:tr>
      <w:tr w:rsidR="004901D3" w:rsidRPr="004901D3" w14:paraId="3AE0E90E" w14:textId="77777777" w:rsidTr="00A31E33">
        <w:tc>
          <w:tcPr>
            <w:tcW w:w="6786" w:type="dxa"/>
          </w:tcPr>
          <w:p w14:paraId="7A6FD043" w14:textId="104A6AFD" w:rsidR="00B83B56" w:rsidRPr="004901D3" w:rsidRDefault="00B83B56" w:rsidP="00B83B56">
            <w:pPr>
              <w:jc w:val="both"/>
              <w:rPr>
                <w:rFonts w:cs="Arial"/>
                <w:b/>
                <w:bCs/>
                <w:sz w:val="20"/>
              </w:rPr>
            </w:pPr>
            <w:r w:rsidRPr="004901D3">
              <w:rPr>
                <w:b/>
                <w:bCs/>
                <w:sz w:val="20"/>
              </w:rPr>
              <w:t>Resources net draw down</w:t>
            </w:r>
          </w:p>
        </w:tc>
        <w:tc>
          <w:tcPr>
            <w:tcW w:w="2233" w:type="dxa"/>
          </w:tcPr>
          <w:p w14:paraId="2E9590CE" w14:textId="5DCD825E" w:rsidR="00B83B56" w:rsidRPr="004901D3" w:rsidRDefault="00B83B56" w:rsidP="00B83B56">
            <w:pPr>
              <w:jc w:val="right"/>
              <w:rPr>
                <w:rFonts w:cs="Arial"/>
                <w:b/>
                <w:bCs/>
                <w:sz w:val="20"/>
              </w:rPr>
            </w:pPr>
            <w:r w:rsidRPr="004901D3">
              <w:rPr>
                <w:b/>
                <w:bCs/>
                <w:sz w:val="20"/>
              </w:rPr>
              <w:t>-</w:t>
            </w:r>
            <w:r w:rsidR="004901D3" w:rsidRPr="004901D3">
              <w:rPr>
                <w:b/>
                <w:bCs/>
                <w:sz w:val="20"/>
              </w:rPr>
              <w:t>1,660</w:t>
            </w:r>
          </w:p>
        </w:tc>
      </w:tr>
      <w:tr w:rsidR="00597780" w:rsidRPr="004901D3" w14:paraId="5126A0E0" w14:textId="77777777" w:rsidTr="00A31E33">
        <w:tc>
          <w:tcPr>
            <w:tcW w:w="6786" w:type="dxa"/>
          </w:tcPr>
          <w:p w14:paraId="6D10DED3" w14:textId="2CA3EF89" w:rsidR="00597780" w:rsidRPr="00597780" w:rsidRDefault="00597780" w:rsidP="00B83B56">
            <w:pPr>
              <w:jc w:val="both"/>
              <w:rPr>
                <w:sz w:val="20"/>
              </w:rPr>
            </w:pPr>
            <w:r w:rsidRPr="00597780">
              <w:rPr>
                <w:sz w:val="20"/>
              </w:rPr>
              <w:t>Corporate Funding</w:t>
            </w:r>
          </w:p>
        </w:tc>
        <w:tc>
          <w:tcPr>
            <w:tcW w:w="2233" w:type="dxa"/>
          </w:tcPr>
          <w:p w14:paraId="3B413F50" w14:textId="473E9265" w:rsidR="00597780" w:rsidRPr="00597780" w:rsidRDefault="00597780" w:rsidP="00B83B56">
            <w:pPr>
              <w:jc w:val="right"/>
              <w:rPr>
                <w:sz w:val="20"/>
              </w:rPr>
            </w:pPr>
            <w:r w:rsidRPr="00597780">
              <w:rPr>
                <w:sz w:val="20"/>
              </w:rPr>
              <w:t>-48</w:t>
            </w:r>
          </w:p>
        </w:tc>
      </w:tr>
      <w:tr w:rsidR="00597780" w:rsidRPr="004901D3" w14:paraId="7AE75041" w14:textId="77777777" w:rsidTr="00A31E33">
        <w:tc>
          <w:tcPr>
            <w:tcW w:w="6786" w:type="dxa"/>
          </w:tcPr>
          <w:p w14:paraId="4A54C7A5" w14:textId="1F2E3795" w:rsidR="00597780" w:rsidRDefault="00597780" w:rsidP="00B83B56">
            <w:pPr>
              <w:jc w:val="both"/>
              <w:rPr>
                <w:b/>
                <w:bCs/>
                <w:sz w:val="20"/>
              </w:rPr>
            </w:pPr>
            <w:r>
              <w:rPr>
                <w:b/>
                <w:bCs/>
                <w:sz w:val="20"/>
              </w:rPr>
              <w:t>Resources total draw downs</w:t>
            </w:r>
          </w:p>
        </w:tc>
        <w:tc>
          <w:tcPr>
            <w:tcW w:w="2233" w:type="dxa"/>
          </w:tcPr>
          <w:p w14:paraId="317BF15D" w14:textId="7E22873D" w:rsidR="00597780" w:rsidRDefault="00597780" w:rsidP="00B83B56">
            <w:pPr>
              <w:jc w:val="right"/>
              <w:rPr>
                <w:b/>
                <w:bCs/>
                <w:sz w:val="20"/>
              </w:rPr>
            </w:pPr>
            <w:r>
              <w:rPr>
                <w:b/>
                <w:bCs/>
                <w:sz w:val="20"/>
              </w:rPr>
              <w:t>-1,708</w:t>
            </w:r>
          </w:p>
        </w:tc>
      </w:tr>
    </w:tbl>
    <w:p w14:paraId="72F695C8" w14:textId="77777777" w:rsidR="00B83B56" w:rsidRPr="006160A2" w:rsidRDefault="00B83B56" w:rsidP="00B83B56">
      <w:pPr>
        <w:jc w:val="both"/>
        <w:rPr>
          <w:rFonts w:cs="Arial"/>
          <w:color w:val="FF0000"/>
          <w:szCs w:val="24"/>
        </w:rPr>
      </w:pPr>
    </w:p>
    <w:p w14:paraId="6DB3E371" w14:textId="77777777" w:rsidR="00E971A9" w:rsidRPr="004901D3" w:rsidRDefault="00E971A9" w:rsidP="00E971A9">
      <w:pPr>
        <w:pStyle w:val="ListParagraph"/>
        <w:ind w:left="567"/>
        <w:jc w:val="both"/>
        <w:rPr>
          <w:rFonts w:cs="Arial"/>
          <w:szCs w:val="24"/>
        </w:rPr>
      </w:pPr>
    </w:p>
    <w:p w14:paraId="3F164191" w14:textId="71EA3A48" w:rsidR="006476B6" w:rsidRPr="004901D3" w:rsidRDefault="006476B6" w:rsidP="00AF06B3">
      <w:pPr>
        <w:pStyle w:val="ListParagraph"/>
        <w:numPr>
          <w:ilvl w:val="0"/>
          <w:numId w:val="4"/>
        </w:numPr>
        <w:ind w:left="567" w:hanging="567"/>
        <w:jc w:val="both"/>
        <w:rPr>
          <w:rFonts w:cs="Arial"/>
          <w:szCs w:val="24"/>
        </w:rPr>
      </w:pPr>
      <w:r w:rsidRPr="004901D3">
        <w:rPr>
          <w:rFonts w:cs="Arial"/>
          <w:szCs w:val="24"/>
        </w:rPr>
        <w:t>The net overspend of £</w:t>
      </w:r>
      <w:r w:rsidR="00083652" w:rsidRPr="004901D3">
        <w:rPr>
          <w:rFonts w:cs="Arial"/>
          <w:szCs w:val="24"/>
        </w:rPr>
        <w:t>1</w:t>
      </w:r>
      <w:r w:rsidR="004901D3" w:rsidRPr="004901D3">
        <w:rPr>
          <w:rFonts w:cs="Arial"/>
          <w:szCs w:val="24"/>
        </w:rPr>
        <w:t>81</w:t>
      </w:r>
      <w:r w:rsidRPr="004901D3">
        <w:rPr>
          <w:rFonts w:cs="Arial"/>
          <w:szCs w:val="24"/>
        </w:rPr>
        <w:t>k is made up as follows:</w:t>
      </w:r>
    </w:p>
    <w:p w14:paraId="1F015109" w14:textId="7BA7D9CA" w:rsidR="006476B6" w:rsidRPr="004901D3" w:rsidRDefault="006476B6" w:rsidP="00AF06B3">
      <w:pPr>
        <w:pStyle w:val="ListParagraph"/>
        <w:numPr>
          <w:ilvl w:val="1"/>
          <w:numId w:val="4"/>
        </w:numPr>
        <w:ind w:left="1418" w:hanging="567"/>
        <w:jc w:val="both"/>
        <w:rPr>
          <w:rFonts w:cs="Arial"/>
          <w:szCs w:val="24"/>
        </w:rPr>
      </w:pPr>
      <w:bookmarkStart w:id="3" w:name="_Hlk112331957"/>
      <w:r w:rsidRPr="004901D3">
        <w:rPr>
          <w:rFonts w:cs="Arial"/>
          <w:b/>
          <w:bCs/>
          <w:szCs w:val="24"/>
        </w:rPr>
        <w:t>Access Harrow</w:t>
      </w:r>
      <w:r w:rsidRPr="004901D3">
        <w:rPr>
          <w:rFonts w:cs="Arial"/>
          <w:szCs w:val="24"/>
        </w:rPr>
        <w:t xml:space="preserve"> – £</w:t>
      </w:r>
      <w:r w:rsidR="004901D3" w:rsidRPr="004901D3">
        <w:rPr>
          <w:rFonts w:cs="Arial"/>
          <w:szCs w:val="24"/>
        </w:rPr>
        <w:t>64</w:t>
      </w:r>
      <w:r w:rsidRPr="004901D3">
        <w:rPr>
          <w:rFonts w:cs="Arial"/>
          <w:szCs w:val="24"/>
        </w:rPr>
        <w:t>k net overspend due to</w:t>
      </w:r>
      <w:r w:rsidR="00174142" w:rsidRPr="004901D3">
        <w:rPr>
          <w:rFonts w:cs="Arial"/>
          <w:szCs w:val="24"/>
        </w:rPr>
        <w:t xml:space="preserve"> the decision to not implement a prior year MTFS saving to close the telephone lines for Revenues and Collections. </w:t>
      </w:r>
    </w:p>
    <w:bookmarkEnd w:id="3"/>
    <w:p w14:paraId="46DCB179" w14:textId="49A2A8D5" w:rsidR="006476B6" w:rsidRPr="004901D3" w:rsidRDefault="006476B6" w:rsidP="00AF06B3">
      <w:pPr>
        <w:pStyle w:val="ListParagraph"/>
        <w:numPr>
          <w:ilvl w:val="1"/>
          <w:numId w:val="4"/>
        </w:numPr>
        <w:ind w:left="1418" w:hanging="567"/>
        <w:jc w:val="both"/>
        <w:rPr>
          <w:rFonts w:cs="Arial"/>
          <w:szCs w:val="24"/>
        </w:rPr>
      </w:pPr>
      <w:r w:rsidRPr="004901D3">
        <w:rPr>
          <w:rFonts w:cs="Arial"/>
          <w:b/>
          <w:bCs/>
          <w:szCs w:val="24"/>
        </w:rPr>
        <w:t>HR</w:t>
      </w:r>
      <w:r w:rsidRPr="004901D3">
        <w:rPr>
          <w:rFonts w:cs="Arial"/>
          <w:szCs w:val="24"/>
        </w:rPr>
        <w:t xml:space="preserve"> - £</w:t>
      </w:r>
      <w:r w:rsidR="00A31E33" w:rsidRPr="004901D3">
        <w:rPr>
          <w:rFonts w:cs="Arial"/>
          <w:szCs w:val="24"/>
        </w:rPr>
        <w:t>1</w:t>
      </w:r>
      <w:r w:rsidR="004901D3" w:rsidRPr="004901D3">
        <w:rPr>
          <w:rFonts w:cs="Arial"/>
          <w:szCs w:val="24"/>
        </w:rPr>
        <w:t>90</w:t>
      </w:r>
      <w:r w:rsidRPr="004901D3">
        <w:rPr>
          <w:rFonts w:cs="Arial"/>
          <w:szCs w:val="24"/>
        </w:rPr>
        <w:t>k net overspend due to loss of income from schools for Payroll services</w:t>
      </w:r>
    </w:p>
    <w:p w14:paraId="0033D64A" w14:textId="3CE21D51" w:rsidR="004901D3" w:rsidRPr="004901D3" w:rsidRDefault="004901D3" w:rsidP="00AF06B3">
      <w:pPr>
        <w:pStyle w:val="ListParagraph"/>
        <w:numPr>
          <w:ilvl w:val="1"/>
          <w:numId w:val="4"/>
        </w:numPr>
        <w:ind w:left="1418" w:hanging="567"/>
        <w:jc w:val="both"/>
        <w:rPr>
          <w:rFonts w:cs="Arial"/>
          <w:szCs w:val="24"/>
        </w:rPr>
      </w:pPr>
      <w:r w:rsidRPr="004901D3">
        <w:rPr>
          <w:rFonts w:cs="Arial"/>
          <w:b/>
          <w:bCs/>
          <w:szCs w:val="24"/>
        </w:rPr>
        <w:t>Business Support</w:t>
      </w:r>
      <w:r w:rsidRPr="004901D3">
        <w:rPr>
          <w:rFonts w:cs="Arial"/>
          <w:szCs w:val="24"/>
        </w:rPr>
        <w:t xml:space="preserve"> - £152k net overspend due to loss of </w:t>
      </w:r>
      <w:proofErr w:type="gramStart"/>
      <w:r w:rsidRPr="004901D3">
        <w:rPr>
          <w:rFonts w:cs="Arial"/>
          <w:szCs w:val="24"/>
        </w:rPr>
        <w:t>schools</w:t>
      </w:r>
      <w:proofErr w:type="gramEnd"/>
      <w:r w:rsidR="0000581B">
        <w:rPr>
          <w:rFonts w:cs="Arial"/>
          <w:szCs w:val="24"/>
        </w:rPr>
        <w:t xml:space="preserve"> </w:t>
      </w:r>
      <w:r w:rsidRPr="004901D3">
        <w:rPr>
          <w:rFonts w:cs="Arial"/>
          <w:szCs w:val="24"/>
        </w:rPr>
        <w:t>income and additional work carried out for Harrow Helpli</w:t>
      </w:r>
      <w:r w:rsidR="0000581B">
        <w:rPr>
          <w:rFonts w:cs="Arial"/>
          <w:szCs w:val="24"/>
        </w:rPr>
        <w:t>ne</w:t>
      </w:r>
      <w:r w:rsidRPr="004901D3">
        <w:rPr>
          <w:rFonts w:cs="Arial"/>
          <w:szCs w:val="24"/>
        </w:rPr>
        <w:t xml:space="preserve"> and Access Harrow</w:t>
      </w:r>
    </w:p>
    <w:p w14:paraId="4809B784" w14:textId="4E9C8012" w:rsidR="00083652" w:rsidRPr="004901D3" w:rsidRDefault="00083652" w:rsidP="00AF06B3">
      <w:pPr>
        <w:pStyle w:val="ListParagraph"/>
        <w:numPr>
          <w:ilvl w:val="1"/>
          <w:numId w:val="4"/>
        </w:numPr>
        <w:ind w:left="1418" w:hanging="567"/>
        <w:jc w:val="both"/>
        <w:rPr>
          <w:rFonts w:cs="Arial"/>
          <w:szCs w:val="24"/>
        </w:rPr>
      </w:pPr>
      <w:r w:rsidRPr="004901D3">
        <w:rPr>
          <w:rFonts w:cs="Arial"/>
          <w:b/>
          <w:bCs/>
          <w:szCs w:val="24"/>
        </w:rPr>
        <w:t>IT</w:t>
      </w:r>
      <w:r w:rsidRPr="004901D3">
        <w:rPr>
          <w:rFonts w:cs="Arial"/>
          <w:szCs w:val="24"/>
        </w:rPr>
        <w:t xml:space="preserve"> - £</w:t>
      </w:r>
      <w:r w:rsidR="004901D3" w:rsidRPr="004901D3">
        <w:rPr>
          <w:rFonts w:cs="Arial"/>
          <w:szCs w:val="24"/>
        </w:rPr>
        <w:t>183</w:t>
      </w:r>
      <w:r w:rsidRPr="004901D3">
        <w:rPr>
          <w:rFonts w:cs="Arial"/>
          <w:szCs w:val="24"/>
        </w:rPr>
        <w:t xml:space="preserve">k net underspend mainly due to </w:t>
      </w:r>
      <w:r w:rsidR="004901D3" w:rsidRPr="004901D3">
        <w:rPr>
          <w:rFonts w:cs="Arial"/>
          <w:szCs w:val="24"/>
        </w:rPr>
        <w:t>contract underspends</w:t>
      </w:r>
    </w:p>
    <w:p w14:paraId="556AE8BD" w14:textId="4CE370EB" w:rsidR="006476B6" w:rsidRPr="004901D3" w:rsidRDefault="00A31E33" w:rsidP="00AF06B3">
      <w:pPr>
        <w:pStyle w:val="ListParagraph"/>
        <w:numPr>
          <w:ilvl w:val="1"/>
          <w:numId w:val="4"/>
        </w:numPr>
        <w:ind w:left="1418" w:hanging="567"/>
        <w:jc w:val="both"/>
        <w:rPr>
          <w:rFonts w:cs="Arial"/>
          <w:szCs w:val="24"/>
        </w:rPr>
      </w:pPr>
      <w:r w:rsidRPr="004901D3">
        <w:rPr>
          <w:rFonts w:cs="Arial"/>
          <w:b/>
          <w:bCs/>
          <w:szCs w:val="24"/>
        </w:rPr>
        <w:t xml:space="preserve">Various </w:t>
      </w:r>
      <w:r w:rsidR="004901D3" w:rsidRPr="004901D3">
        <w:rPr>
          <w:rFonts w:cs="Arial"/>
          <w:b/>
          <w:bCs/>
          <w:szCs w:val="24"/>
        </w:rPr>
        <w:t>und</w:t>
      </w:r>
      <w:r w:rsidR="00083652" w:rsidRPr="004901D3">
        <w:rPr>
          <w:rFonts w:cs="Arial"/>
          <w:b/>
          <w:bCs/>
          <w:szCs w:val="24"/>
        </w:rPr>
        <w:t>er</w:t>
      </w:r>
      <w:r w:rsidRPr="004901D3">
        <w:rPr>
          <w:rFonts w:cs="Arial"/>
          <w:b/>
          <w:bCs/>
          <w:szCs w:val="24"/>
        </w:rPr>
        <w:t>spends</w:t>
      </w:r>
      <w:r w:rsidR="006476B6" w:rsidRPr="004901D3">
        <w:rPr>
          <w:rFonts w:cs="Arial"/>
          <w:szCs w:val="24"/>
        </w:rPr>
        <w:t xml:space="preserve"> - £</w:t>
      </w:r>
      <w:r w:rsidR="004901D3" w:rsidRPr="004901D3">
        <w:rPr>
          <w:rFonts w:cs="Arial"/>
          <w:szCs w:val="24"/>
        </w:rPr>
        <w:t>42</w:t>
      </w:r>
      <w:r w:rsidR="006476B6" w:rsidRPr="004901D3">
        <w:rPr>
          <w:rFonts w:cs="Arial"/>
          <w:szCs w:val="24"/>
        </w:rPr>
        <w:t>k across the directorate</w:t>
      </w:r>
      <w:r w:rsidRPr="004901D3">
        <w:rPr>
          <w:rFonts w:cs="Arial"/>
          <w:szCs w:val="24"/>
        </w:rPr>
        <w:t xml:space="preserve"> mainly related to </w:t>
      </w:r>
      <w:r w:rsidR="00430784" w:rsidRPr="004901D3">
        <w:rPr>
          <w:rFonts w:cs="Arial"/>
          <w:szCs w:val="24"/>
        </w:rPr>
        <w:t xml:space="preserve">loss of income in Business Support </w:t>
      </w:r>
    </w:p>
    <w:bookmarkEnd w:id="0"/>
    <w:bookmarkEnd w:id="1"/>
    <w:bookmarkEnd w:id="2"/>
    <w:p w14:paraId="28776BCD" w14:textId="4D8ABF3C" w:rsidR="004901D3" w:rsidRDefault="004901D3" w:rsidP="003C7F2F">
      <w:pPr>
        <w:rPr>
          <w:rFonts w:cs="Arial"/>
          <w:b/>
          <w:szCs w:val="24"/>
          <w:u w:val="single"/>
        </w:rPr>
      </w:pPr>
    </w:p>
    <w:p w14:paraId="35A20D93" w14:textId="17D39227" w:rsidR="00690337" w:rsidRPr="00597780" w:rsidRDefault="0056292F" w:rsidP="003C7F2F">
      <w:pPr>
        <w:rPr>
          <w:rFonts w:cs="Arial"/>
          <w:b/>
          <w:szCs w:val="24"/>
          <w:u w:val="single"/>
        </w:rPr>
      </w:pPr>
      <w:r w:rsidRPr="00597780">
        <w:rPr>
          <w:rFonts w:cs="Arial"/>
          <w:b/>
          <w:szCs w:val="24"/>
          <w:u w:val="single"/>
        </w:rPr>
        <w:t>PLACE</w:t>
      </w:r>
    </w:p>
    <w:p w14:paraId="24FE4088" w14:textId="10FD5312" w:rsidR="009A7E9D" w:rsidRPr="00597780" w:rsidRDefault="009A7E9D" w:rsidP="009A7E9D">
      <w:pPr>
        <w:pStyle w:val="ListParagraph"/>
        <w:ind w:left="567"/>
        <w:jc w:val="both"/>
        <w:rPr>
          <w:rFonts w:cs="Arial"/>
          <w:szCs w:val="24"/>
        </w:rPr>
      </w:pPr>
    </w:p>
    <w:p w14:paraId="175B0801" w14:textId="6975C810" w:rsidR="00157B60" w:rsidRPr="00597780" w:rsidRDefault="001025AD" w:rsidP="00157B60">
      <w:pPr>
        <w:jc w:val="both"/>
        <w:rPr>
          <w:rFonts w:cs="Arial"/>
          <w:b/>
          <w:u w:val="single"/>
        </w:rPr>
      </w:pPr>
      <w:r w:rsidRPr="00597780">
        <w:rPr>
          <w:rFonts w:cs="Arial"/>
          <w:b/>
          <w:u w:val="single"/>
        </w:rPr>
        <w:t xml:space="preserve">Table </w:t>
      </w:r>
      <w:r w:rsidR="00A31E33" w:rsidRPr="00597780">
        <w:rPr>
          <w:rFonts w:cs="Arial"/>
          <w:b/>
          <w:u w:val="single"/>
        </w:rPr>
        <w:t>6</w:t>
      </w:r>
      <w:r w:rsidRPr="00597780">
        <w:rPr>
          <w:rFonts w:cs="Arial"/>
          <w:b/>
          <w:u w:val="single"/>
        </w:rPr>
        <w:t xml:space="preserve">: </w:t>
      </w:r>
      <w:r w:rsidR="0056292F" w:rsidRPr="00597780">
        <w:rPr>
          <w:rFonts w:cs="Arial"/>
          <w:b/>
          <w:u w:val="single"/>
        </w:rPr>
        <w:t>Place</w:t>
      </w:r>
      <w:r w:rsidR="00D207F0" w:rsidRPr="00597780">
        <w:rPr>
          <w:rFonts w:cs="Arial"/>
          <w:b/>
          <w:u w:val="single"/>
        </w:rPr>
        <w:t xml:space="preserve"> Outturn 2022-23</w:t>
      </w:r>
    </w:p>
    <w:p w14:paraId="0DBBF833" w14:textId="63514F94" w:rsidR="00F678AF" w:rsidRPr="006160A2" w:rsidRDefault="00F678AF" w:rsidP="00F678AF">
      <w:pPr>
        <w:pStyle w:val="ListParagraph"/>
        <w:ind w:left="567"/>
        <w:jc w:val="both"/>
        <w:rPr>
          <w:rFonts w:cs="Arial"/>
          <w:bCs/>
          <w:color w:val="FF0000"/>
        </w:rPr>
      </w:pPr>
    </w:p>
    <w:p w14:paraId="57EBBDA9" w14:textId="3047C155" w:rsidR="00F5674D" w:rsidRDefault="00597780" w:rsidP="00597780">
      <w:pPr>
        <w:pStyle w:val="ListParagraph"/>
        <w:ind w:left="142"/>
        <w:jc w:val="both"/>
        <w:rPr>
          <w:rFonts w:cs="Arial"/>
          <w:bCs/>
          <w:color w:val="FF0000"/>
        </w:rPr>
      </w:pPr>
      <w:r w:rsidRPr="00597780">
        <w:rPr>
          <w:noProof/>
        </w:rPr>
        <w:drawing>
          <wp:inline distT="0" distB="0" distL="0" distR="0" wp14:anchorId="7172C6B5" wp14:editId="5459CE5B">
            <wp:extent cx="6096094" cy="2006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2466" cy="2008697"/>
                    </a:xfrm>
                    <a:prstGeom prst="rect">
                      <a:avLst/>
                    </a:prstGeom>
                    <a:noFill/>
                    <a:ln>
                      <a:noFill/>
                    </a:ln>
                  </pic:spPr>
                </pic:pic>
              </a:graphicData>
            </a:graphic>
          </wp:inline>
        </w:drawing>
      </w:r>
    </w:p>
    <w:p w14:paraId="3032BF48" w14:textId="25E0EA4D" w:rsidR="00597780" w:rsidRDefault="00597780" w:rsidP="00F5674D">
      <w:pPr>
        <w:pStyle w:val="ListParagraph"/>
        <w:ind w:left="567"/>
        <w:jc w:val="both"/>
        <w:rPr>
          <w:rFonts w:cs="Arial"/>
          <w:bCs/>
          <w:color w:val="FF0000"/>
        </w:rPr>
      </w:pPr>
    </w:p>
    <w:p w14:paraId="53990E9B" w14:textId="2FBDFA78" w:rsidR="00B83B56" w:rsidRPr="004A18A0" w:rsidRDefault="00B83B56" w:rsidP="00B83B56">
      <w:pPr>
        <w:pStyle w:val="ListParagraph"/>
        <w:numPr>
          <w:ilvl w:val="0"/>
          <w:numId w:val="4"/>
        </w:numPr>
        <w:ind w:left="567" w:hanging="567"/>
        <w:jc w:val="both"/>
        <w:rPr>
          <w:rFonts w:cs="Arial"/>
          <w:bCs/>
        </w:rPr>
      </w:pPr>
      <w:r w:rsidRPr="004A18A0">
        <w:rPr>
          <w:rFonts w:cs="Arial"/>
          <w:bCs/>
        </w:rPr>
        <w:t xml:space="preserve">As at </w:t>
      </w:r>
      <w:r w:rsidR="004A18A0" w:rsidRPr="004A18A0">
        <w:rPr>
          <w:rFonts w:cs="Arial"/>
          <w:bCs/>
        </w:rPr>
        <w:t xml:space="preserve">the end of the financial year </w:t>
      </w:r>
      <w:r w:rsidRPr="004A18A0">
        <w:rPr>
          <w:rFonts w:cs="Arial"/>
          <w:bCs/>
        </w:rPr>
        <w:t>the directorate is reporting a net overspend of £</w:t>
      </w:r>
      <w:r w:rsidR="004A18A0" w:rsidRPr="004A18A0">
        <w:rPr>
          <w:rFonts w:cs="Arial"/>
          <w:bCs/>
        </w:rPr>
        <w:t>3.988m</w:t>
      </w:r>
      <w:r w:rsidRPr="004A18A0">
        <w:rPr>
          <w:rFonts w:cs="Arial"/>
          <w:bCs/>
        </w:rPr>
        <w:t xml:space="preserve"> after </w:t>
      </w:r>
      <w:proofErr w:type="gramStart"/>
      <w:r w:rsidRPr="004A18A0">
        <w:rPr>
          <w:rFonts w:cs="Arial"/>
          <w:bCs/>
        </w:rPr>
        <w:t>draw</w:t>
      </w:r>
      <w:proofErr w:type="gramEnd"/>
      <w:r w:rsidRPr="004A18A0">
        <w:rPr>
          <w:rFonts w:cs="Arial"/>
          <w:bCs/>
        </w:rPr>
        <w:t xml:space="preserve"> down from reserves and cross-divisional adjustments.</w:t>
      </w:r>
    </w:p>
    <w:p w14:paraId="31D22C52" w14:textId="77777777" w:rsidR="00B83B56" w:rsidRPr="004A18A0" w:rsidRDefault="00B83B56" w:rsidP="00B83B56">
      <w:pPr>
        <w:pStyle w:val="ListParagraph"/>
        <w:ind w:left="567"/>
        <w:jc w:val="both"/>
        <w:rPr>
          <w:rFonts w:cs="Arial"/>
          <w:bCs/>
        </w:rPr>
      </w:pPr>
    </w:p>
    <w:p w14:paraId="4B49B18A" w14:textId="161D86C2" w:rsidR="00B83B56" w:rsidRPr="004A18A0" w:rsidRDefault="00B83B56" w:rsidP="00B83B56">
      <w:pPr>
        <w:pStyle w:val="ListParagraph"/>
        <w:numPr>
          <w:ilvl w:val="0"/>
          <w:numId w:val="4"/>
        </w:numPr>
        <w:ind w:left="567" w:hanging="567"/>
        <w:jc w:val="both"/>
        <w:rPr>
          <w:rFonts w:cs="Arial"/>
          <w:bCs/>
        </w:rPr>
      </w:pPr>
      <w:r w:rsidRPr="004A18A0">
        <w:rPr>
          <w:rFonts w:cs="Arial"/>
          <w:bCs/>
        </w:rPr>
        <w:t>Of this, £2.</w:t>
      </w:r>
      <w:r w:rsidR="004A18A0" w:rsidRPr="004A18A0">
        <w:rPr>
          <w:rFonts w:cs="Arial"/>
          <w:bCs/>
        </w:rPr>
        <w:t>450</w:t>
      </w:r>
      <w:r w:rsidRPr="004A18A0">
        <w:rPr>
          <w:rFonts w:cs="Arial"/>
          <w:bCs/>
        </w:rPr>
        <w:t xml:space="preserve">m relates to energy and fuel cost pressures due to the recent surges in the unit price of electricity, gas, and fuel. This </w:t>
      </w:r>
      <w:r w:rsidR="004A18A0" w:rsidRPr="004A18A0">
        <w:rPr>
          <w:rFonts w:cs="Arial"/>
          <w:bCs/>
        </w:rPr>
        <w:t>has been</w:t>
      </w:r>
      <w:r w:rsidRPr="004A18A0">
        <w:rPr>
          <w:rFonts w:cs="Arial"/>
          <w:bCs/>
        </w:rPr>
        <w:t xml:space="preserve"> funded by the non-pay inflation budget of £2.75m which is held corporately.</w:t>
      </w:r>
    </w:p>
    <w:p w14:paraId="78753AEF" w14:textId="77777777" w:rsidR="00E9752B" w:rsidRPr="006160A2" w:rsidRDefault="00E9752B" w:rsidP="00E9752B">
      <w:pPr>
        <w:pStyle w:val="ListParagraph"/>
        <w:rPr>
          <w:rFonts w:cs="Arial"/>
          <w:bCs/>
          <w:color w:val="FF0000"/>
        </w:rPr>
      </w:pPr>
    </w:p>
    <w:p w14:paraId="1EF282F4" w14:textId="3D9BA8AF" w:rsidR="00B83B56" w:rsidRPr="00C61F1E" w:rsidRDefault="00B83B56" w:rsidP="00B83B56">
      <w:pPr>
        <w:pStyle w:val="ListParagraph"/>
        <w:numPr>
          <w:ilvl w:val="0"/>
          <w:numId w:val="4"/>
        </w:numPr>
        <w:ind w:left="567" w:hanging="567"/>
        <w:jc w:val="both"/>
        <w:rPr>
          <w:rFonts w:cs="Arial"/>
          <w:bCs/>
        </w:rPr>
      </w:pPr>
      <w:r w:rsidRPr="00C61F1E">
        <w:rPr>
          <w:rFonts w:cs="Arial"/>
          <w:bCs/>
        </w:rPr>
        <w:t xml:space="preserve">The reserve movements are shown in Table </w:t>
      </w:r>
      <w:r w:rsidR="00E037F5" w:rsidRPr="00C61F1E">
        <w:rPr>
          <w:rFonts w:cs="Arial"/>
          <w:bCs/>
        </w:rPr>
        <w:t>7</w:t>
      </w:r>
      <w:r w:rsidRPr="00C61F1E">
        <w:rPr>
          <w:rFonts w:cs="Arial"/>
          <w:bCs/>
        </w:rPr>
        <w:t xml:space="preserve"> </w:t>
      </w:r>
    </w:p>
    <w:p w14:paraId="58969EC9" w14:textId="77777777" w:rsidR="00B83B56" w:rsidRPr="00C61F1E" w:rsidRDefault="00B83B56" w:rsidP="00B83B56">
      <w:pPr>
        <w:pStyle w:val="ListParagraph"/>
        <w:rPr>
          <w:rFonts w:cs="Arial"/>
          <w:bCs/>
        </w:rPr>
      </w:pPr>
    </w:p>
    <w:p w14:paraId="25565E30" w14:textId="67C13EC8" w:rsidR="00B83B56" w:rsidRPr="00C61F1E" w:rsidRDefault="00B83B56" w:rsidP="00B83B56">
      <w:pPr>
        <w:jc w:val="both"/>
        <w:rPr>
          <w:rFonts w:cs="Arial"/>
          <w:b/>
          <w:bCs/>
          <w:szCs w:val="24"/>
          <w:u w:val="single"/>
        </w:rPr>
      </w:pPr>
      <w:r w:rsidRPr="00C61F1E">
        <w:rPr>
          <w:rFonts w:cs="Arial"/>
          <w:b/>
          <w:bCs/>
          <w:szCs w:val="24"/>
          <w:u w:val="single"/>
        </w:rPr>
        <w:lastRenderedPageBreak/>
        <w:t xml:space="preserve">Table </w:t>
      </w:r>
      <w:r w:rsidR="00E037F5" w:rsidRPr="00C61F1E">
        <w:rPr>
          <w:rFonts w:cs="Arial"/>
          <w:b/>
          <w:bCs/>
          <w:szCs w:val="24"/>
          <w:u w:val="single"/>
        </w:rPr>
        <w:t>7</w:t>
      </w:r>
      <w:r w:rsidRPr="00C61F1E">
        <w:rPr>
          <w:rFonts w:cs="Arial"/>
          <w:b/>
          <w:bCs/>
          <w:szCs w:val="24"/>
          <w:u w:val="single"/>
        </w:rPr>
        <w:t>: Place Reserve Movements 2022-23</w:t>
      </w:r>
    </w:p>
    <w:p w14:paraId="7D6810C1" w14:textId="77777777" w:rsidR="00B83B56" w:rsidRPr="00C61F1E" w:rsidRDefault="00B83B56" w:rsidP="00B83B56">
      <w:pPr>
        <w:jc w:val="both"/>
        <w:rPr>
          <w:rFonts w:cs="Arial"/>
          <w:b/>
          <w:bCs/>
          <w:szCs w:val="24"/>
          <w:u w:val="single"/>
        </w:rPr>
      </w:pPr>
    </w:p>
    <w:tbl>
      <w:tblPr>
        <w:tblStyle w:val="TableGrid"/>
        <w:tblW w:w="0" w:type="auto"/>
        <w:tblLook w:val="04A0" w:firstRow="1" w:lastRow="0" w:firstColumn="1" w:lastColumn="0" w:noHBand="0" w:noVBand="1"/>
      </w:tblPr>
      <w:tblGrid>
        <w:gridCol w:w="6786"/>
        <w:gridCol w:w="2233"/>
      </w:tblGrid>
      <w:tr w:rsidR="00C61F1E" w:rsidRPr="00C61F1E" w14:paraId="09DAB1FD" w14:textId="77777777" w:rsidTr="00E037F5">
        <w:tc>
          <w:tcPr>
            <w:tcW w:w="6786" w:type="dxa"/>
          </w:tcPr>
          <w:p w14:paraId="1C57BA98" w14:textId="77777777" w:rsidR="00B83B56" w:rsidRPr="00C61F1E" w:rsidRDefault="00B83B56" w:rsidP="00DC6F9D">
            <w:pPr>
              <w:jc w:val="both"/>
              <w:rPr>
                <w:rFonts w:cs="Arial"/>
                <w:b/>
                <w:bCs/>
                <w:sz w:val="20"/>
              </w:rPr>
            </w:pPr>
            <w:r w:rsidRPr="00C61F1E">
              <w:rPr>
                <w:b/>
                <w:bCs/>
                <w:sz w:val="20"/>
              </w:rPr>
              <w:t xml:space="preserve">Description </w:t>
            </w:r>
          </w:p>
        </w:tc>
        <w:tc>
          <w:tcPr>
            <w:tcW w:w="2233" w:type="dxa"/>
          </w:tcPr>
          <w:p w14:paraId="6C9E2412" w14:textId="77777777" w:rsidR="00B83B56" w:rsidRPr="00C61F1E" w:rsidRDefault="00B83B56" w:rsidP="00DC6F9D">
            <w:pPr>
              <w:jc w:val="both"/>
              <w:rPr>
                <w:rFonts w:cs="Arial"/>
                <w:bCs/>
                <w:sz w:val="20"/>
              </w:rPr>
            </w:pPr>
            <w:r w:rsidRPr="00C61F1E">
              <w:rPr>
                <w:b/>
                <w:bCs/>
                <w:sz w:val="20"/>
              </w:rPr>
              <w:t>Movement £’000</w:t>
            </w:r>
          </w:p>
        </w:tc>
      </w:tr>
      <w:tr w:rsidR="00C61F1E" w:rsidRPr="00C61F1E" w14:paraId="744B98EC" w14:textId="77777777" w:rsidTr="00213124">
        <w:tc>
          <w:tcPr>
            <w:tcW w:w="6786" w:type="dxa"/>
          </w:tcPr>
          <w:p w14:paraId="25EAFCAC" w14:textId="4D52C398" w:rsidR="00E037F5" w:rsidRPr="00C61F1E" w:rsidRDefault="00E037F5" w:rsidP="00DC6F9D">
            <w:pPr>
              <w:jc w:val="both"/>
              <w:rPr>
                <w:rFonts w:cs="Arial"/>
                <w:bCs/>
                <w:sz w:val="20"/>
              </w:rPr>
            </w:pPr>
            <w:r w:rsidRPr="00C61F1E">
              <w:rPr>
                <w:sz w:val="20"/>
              </w:rPr>
              <w:t>Capital Feasibilities Reserve</w:t>
            </w:r>
          </w:p>
        </w:tc>
        <w:tc>
          <w:tcPr>
            <w:tcW w:w="2233" w:type="dxa"/>
          </w:tcPr>
          <w:p w14:paraId="42EC0A15" w14:textId="32B03E50" w:rsidR="00E037F5" w:rsidRPr="00C61F1E" w:rsidRDefault="00C61F1E" w:rsidP="00DC6F9D">
            <w:pPr>
              <w:jc w:val="right"/>
              <w:rPr>
                <w:rFonts w:cs="Arial"/>
                <w:bCs/>
                <w:sz w:val="20"/>
              </w:rPr>
            </w:pPr>
            <w:r w:rsidRPr="00C61F1E">
              <w:rPr>
                <w:rFonts w:cs="Arial"/>
                <w:bCs/>
                <w:sz w:val="20"/>
              </w:rPr>
              <w:t>-15</w:t>
            </w:r>
          </w:p>
        </w:tc>
      </w:tr>
      <w:tr w:rsidR="00C61F1E" w:rsidRPr="00C61F1E" w14:paraId="2E849B3A" w14:textId="77777777" w:rsidTr="00213124">
        <w:tc>
          <w:tcPr>
            <w:tcW w:w="6786" w:type="dxa"/>
          </w:tcPr>
          <w:p w14:paraId="376A819A" w14:textId="22EEF9C4" w:rsidR="00E037F5" w:rsidRPr="00C61F1E" w:rsidRDefault="00E037F5" w:rsidP="00DC6F9D">
            <w:pPr>
              <w:jc w:val="both"/>
              <w:rPr>
                <w:rFonts w:cs="Arial"/>
                <w:bCs/>
                <w:sz w:val="20"/>
              </w:rPr>
            </w:pPr>
            <w:r w:rsidRPr="00C61F1E">
              <w:rPr>
                <w:sz w:val="20"/>
              </w:rPr>
              <w:t>3G Pitch</w:t>
            </w:r>
          </w:p>
        </w:tc>
        <w:tc>
          <w:tcPr>
            <w:tcW w:w="2233" w:type="dxa"/>
          </w:tcPr>
          <w:p w14:paraId="0BFAC5D8" w14:textId="4BEF8051" w:rsidR="00E037F5" w:rsidRPr="00C61F1E" w:rsidRDefault="00C61F1E" w:rsidP="00DC6F9D">
            <w:pPr>
              <w:jc w:val="right"/>
              <w:rPr>
                <w:rFonts w:cs="Arial"/>
                <w:bCs/>
                <w:sz w:val="20"/>
              </w:rPr>
            </w:pPr>
            <w:r w:rsidRPr="00C61F1E">
              <w:rPr>
                <w:rFonts w:cs="Arial"/>
                <w:bCs/>
                <w:sz w:val="20"/>
              </w:rPr>
              <w:t>25</w:t>
            </w:r>
          </w:p>
        </w:tc>
      </w:tr>
      <w:tr w:rsidR="00C61F1E" w:rsidRPr="00C61F1E" w14:paraId="0B2BE603" w14:textId="77777777" w:rsidTr="00213124">
        <w:tc>
          <w:tcPr>
            <w:tcW w:w="6786" w:type="dxa"/>
          </w:tcPr>
          <w:p w14:paraId="71BDF195" w14:textId="335A638C" w:rsidR="00C61F1E" w:rsidRPr="00C61F1E" w:rsidRDefault="00C61F1E" w:rsidP="00DC6F9D">
            <w:pPr>
              <w:jc w:val="both"/>
              <w:rPr>
                <w:sz w:val="20"/>
              </w:rPr>
            </w:pPr>
            <w:r w:rsidRPr="00C61F1E">
              <w:rPr>
                <w:sz w:val="20"/>
              </w:rPr>
              <w:t>Waste Strategy</w:t>
            </w:r>
          </w:p>
        </w:tc>
        <w:tc>
          <w:tcPr>
            <w:tcW w:w="2233" w:type="dxa"/>
          </w:tcPr>
          <w:p w14:paraId="1EE9D20C" w14:textId="067E334C" w:rsidR="00C61F1E" w:rsidRPr="00C61F1E" w:rsidRDefault="00C61F1E" w:rsidP="00DC6F9D">
            <w:pPr>
              <w:jc w:val="right"/>
              <w:rPr>
                <w:rFonts w:cs="Arial"/>
                <w:bCs/>
                <w:sz w:val="20"/>
              </w:rPr>
            </w:pPr>
            <w:r w:rsidRPr="00C61F1E">
              <w:rPr>
                <w:rFonts w:cs="Arial"/>
                <w:bCs/>
                <w:sz w:val="20"/>
              </w:rPr>
              <w:t>1,595</w:t>
            </w:r>
          </w:p>
        </w:tc>
      </w:tr>
      <w:tr w:rsidR="00C61F1E" w:rsidRPr="00C61F1E" w14:paraId="2FD33571" w14:textId="77777777" w:rsidTr="00213124">
        <w:tc>
          <w:tcPr>
            <w:tcW w:w="6786" w:type="dxa"/>
          </w:tcPr>
          <w:p w14:paraId="3043DCE8" w14:textId="7C27C030" w:rsidR="00E037F5" w:rsidRPr="00C61F1E" w:rsidRDefault="00E037F5" w:rsidP="00DC6F9D">
            <w:pPr>
              <w:jc w:val="both"/>
              <w:rPr>
                <w:rFonts w:cs="Arial"/>
                <w:bCs/>
                <w:sz w:val="20"/>
              </w:rPr>
            </w:pPr>
            <w:r w:rsidRPr="00C61F1E">
              <w:rPr>
                <w:sz w:val="20"/>
              </w:rPr>
              <w:t>1 Hour Free Parking</w:t>
            </w:r>
          </w:p>
        </w:tc>
        <w:tc>
          <w:tcPr>
            <w:tcW w:w="2233" w:type="dxa"/>
          </w:tcPr>
          <w:p w14:paraId="367E8C25" w14:textId="41E62ED7" w:rsidR="00E037F5" w:rsidRPr="00C61F1E" w:rsidRDefault="00C61F1E" w:rsidP="00DC6F9D">
            <w:pPr>
              <w:jc w:val="right"/>
              <w:rPr>
                <w:rFonts w:cs="Arial"/>
                <w:bCs/>
                <w:sz w:val="20"/>
              </w:rPr>
            </w:pPr>
            <w:r w:rsidRPr="00C61F1E">
              <w:rPr>
                <w:rFonts w:cs="Arial"/>
                <w:bCs/>
                <w:sz w:val="20"/>
              </w:rPr>
              <w:t>-405</w:t>
            </w:r>
          </w:p>
        </w:tc>
      </w:tr>
      <w:tr w:rsidR="00C61F1E" w:rsidRPr="00C61F1E" w14:paraId="758C41F7" w14:textId="77777777" w:rsidTr="00213124">
        <w:tc>
          <w:tcPr>
            <w:tcW w:w="6786" w:type="dxa"/>
          </w:tcPr>
          <w:p w14:paraId="54B60D43" w14:textId="6519B32F" w:rsidR="00E037F5" w:rsidRPr="00C61F1E" w:rsidRDefault="00E037F5" w:rsidP="00DC6F9D">
            <w:pPr>
              <w:jc w:val="both"/>
              <w:rPr>
                <w:rFonts w:cs="Arial"/>
                <w:bCs/>
                <w:sz w:val="20"/>
              </w:rPr>
            </w:pPr>
            <w:r w:rsidRPr="00C61F1E">
              <w:rPr>
                <w:sz w:val="20"/>
              </w:rPr>
              <w:t>Business Risk Reserve</w:t>
            </w:r>
          </w:p>
        </w:tc>
        <w:tc>
          <w:tcPr>
            <w:tcW w:w="2233" w:type="dxa"/>
          </w:tcPr>
          <w:p w14:paraId="67279BAE" w14:textId="74534210" w:rsidR="00E037F5" w:rsidRPr="00C61F1E" w:rsidRDefault="00C61F1E" w:rsidP="00DC6F9D">
            <w:pPr>
              <w:jc w:val="right"/>
              <w:rPr>
                <w:rFonts w:cs="Arial"/>
                <w:bCs/>
                <w:sz w:val="20"/>
              </w:rPr>
            </w:pPr>
            <w:r w:rsidRPr="00C61F1E">
              <w:rPr>
                <w:rFonts w:cs="Arial"/>
                <w:bCs/>
                <w:sz w:val="20"/>
              </w:rPr>
              <w:t>-648</w:t>
            </w:r>
          </w:p>
        </w:tc>
      </w:tr>
      <w:tr w:rsidR="00C61F1E" w:rsidRPr="00C61F1E" w14:paraId="501B2FBE" w14:textId="77777777" w:rsidTr="00213124">
        <w:tc>
          <w:tcPr>
            <w:tcW w:w="6786" w:type="dxa"/>
          </w:tcPr>
          <w:p w14:paraId="20CBA62E" w14:textId="527BF5DD" w:rsidR="00E037F5" w:rsidRPr="00C61F1E" w:rsidRDefault="00E037F5" w:rsidP="00DC6F9D">
            <w:pPr>
              <w:jc w:val="both"/>
              <w:rPr>
                <w:rFonts w:cs="Arial"/>
                <w:bCs/>
                <w:sz w:val="20"/>
              </w:rPr>
            </w:pPr>
            <w:r w:rsidRPr="00C61F1E">
              <w:rPr>
                <w:sz w:val="20"/>
              </w:rPr>
              <w:t>Capacity Build/ Transformation Reserve</w:t>
            </w:r>
          </w:p>
        </w:tc>
        <w:tc>
          <w:tcPr>
            <w:tcW w:w="2233" w:type="dxa"/>
          </w:tcPr>
          <w:p w14:paraId="3FB2F985" w14:textId="220D85BB" w:rsidR="00C61F1E" w:rsidRPr="00C61F1E" w:rsidRDefault="00C61F1E" w:rsidP="00C61F1E">
            <w:pPr>
              <w:jc w:val="right"/>
              <w:rPr>
                <w:rFonts w:cs="Arial"/>
                <w:bCs/>
                <w:sz w:val="20"/>
              </w:rPr>
            </w:pPr>
            <w:r w:rsidRPr="00C61F1E">
              <w:rPr>
                <w:rFonts w:cs="Arial"/>
                <w:bCs/>
                <w:sz w:val="20"/>
              </w:rPr>
              <w:t>-107</w:t>
            </w:r>
          </w:p>
        </w:tc>
      </w:tr>
      <w:tr w:rsidR="00C61F1E" w:rsidRPr="00C61F1E" w14:paraId="1B19DD35" w14:textId="77777777" w:rsidTr="00213124">
        <w:tc>
          <w:tcPr>
            <w:tcW w:w="6786" w:type="dxa"/>
          </w:tcPr>
          <w:p w14:paraId="2E5703DB" w14:textId="61F9937C" w:rsidR="00430784" w:rsidRPr="00C61F1E" w:rsidRDefault="00430784" w:rsidP="00DC6F9D">
            <w:pPr>
              <w:jc w:val="both"/>
              <w:rPr>
                <w:sz w:val="20"/>
              </w:rPr>
            </w:pPr>
            <w:r w:rsidRPr="00C61F1E">
              <w:rPr>
                <w:sz w:val="20"/>
              </w:rPr>
              <w:t>Revenue Grant Reserve</w:t>
            </w:r>
          </w:p>
        </w:tc>
        <w:tc>
          <w:tcPr>
            <w:tcW w:w="2233" w:type="dxa"/>
          </w:tcPr>
          <w:p w14:paraId="5B3BAAF2" w14:textId="08C12281" w:rsidR="00430784" w:rsidRPr="00C61F1E" w:rsidRDefault="00C61F1E" w:rsidP="00DC6F9D">
            <w:pPr>
              <w:jc w:val="right"/>
              <w:rPr>
                <w:sz w:val="20"/>
              </w:rPr>
            </w:pPr>
            <w:r w:rsidRPr="00C61F1E">
              <w:rPr>
                <w:sz w:val="20"/>
              </w:rPr>
              <w:t>-44</w:t>
            </w:r>
            <w:r w:rsidR="009C0E07">
              <w:rPr>
                <w:sz w:val="20"/>
              </w:rPr>
              <w:t>4</w:t>
            </w:r>
          </w:p>
        </w:tc>
      </w:tr>
      <w:tr w:rsidR="00C61F1E" w:rsidRPr="00C61F1E" w14:paraId="2420CA32" w14:textId="77777777" w:rsidTr="00213124">
        <w:tc>
          <w:tcPr>
            <w:tcW w:w="6786" w:type="dxa"/>
          </w:tcPr>
          <w:p w14:paraId="4E813D0A" w14:textId="46627BC3" w:rsidR="00C61F1E" w:rsidRPr="00C61F1E" w:rsidRDefault="00C61F1E" w:rsidP="00DC6F9D">
            <w:pPr>
              <w:jc w:val="both"/>
              <w:rPr>
                <w:sz w:val="20"/>
              </w:rPr>
            </w:pPr>
            <w:r w:rsidRPr="00C61F1E">
              <w:rPr>
                <w:sz w:val="20"/>
              </w:rPr>
              <w:t>CIL</w:t>
            </w:r>
          </w:p>
        </w:tc>
        <w:tc>
          <w:tcPr>
            <w:tcW w:w="2233" w:type="dxa"/>
          </w:tcPr>
          <w:p w14:paraId="4F0F9700" w14:textId="6F6BC061" w:rsidR="00C61F1E" w:rsidRPr="00C61F1E" w:rsidRDefault="00C61F1E" w:rsidP="00DC6F9D">
            <w:pPr>
              <w:jc w:val="right"/>
              <w:rPr>
                <w:sz w:val="20"/>
              </w:rPr>
            </w:pPr>
            <w:r w:rsidRPr="00C61F1E">
              <w:rPr>
                <w:sz w:val="20"/>
              </w:rPr>
              <w:t>7,631</w:t>
            </w:r>
          </w:p>
        </w:tc>
      </w:tr>
      <w:tr w:rsidR="00C61F1E" w:rsidRPr="00C61F1E" w14:paraId="0AAD05A1" w14:textId="77777777" w:rsidTr="00213124">
        <w:tc>
          <w:tcPr>
            <w:tcW w:w="6786" w:type="dxa"/>
          </w:tcPr>
          <w:p w14:paraId="75BF65CC" w14:textId="68F08695" w:rsidR="00C61F1E" w:rsidRPr="00C61F1E" w:rsidRDefault="00C61F1E" w:rsidP="00DC6F9D">
            <w:pPr>
              <w:jc w:val="both"/>
              <w:rPr>
                <w:sz w:val="20"/>
              </w:rPr>
            </w:pPr>
            <w:r w:rsidRPr="00C61F1E">
              <w:rPr>
                <w:sz w:val="20"/>
              </w:rPr>
              <w:t xml:space="preserve">CIL Mayor </w:t>
            </w:r>
          </w:p>
        </w:tc>
        <w:tc>
          <w:tcPr>
            <w:tcW w:w="2233" w:type="dxa"/>
          </w:tcPr>
          <w:p w14:paraId="4AB130E1" w14:textId="3486A93C" w:rsidR="00C61F1E" w:rsidRPr="00C61F1E" w:rsidRDefault="00C61F1E" w:rsidP="00DC6F9D">
            <w:pPr>
              <w:jc w:val="right"/>
              <w:rPr>
                <w:sz w:val="20"/>
              </w:rPr>
            </w:pPr>
            <w:r w:rsidRPr="00C61F1E">
              <w:rPr>
                <w:sz w:val="20"/>
              </w:rPr>
              <w:t>42</w:t>
            </w:r>
          </w:p>
        </w:tc>
      </w:tr>
      <w:tr w:rsidR="00C61F1E" w:rsidRPr="00C61F1E" w14:paraId="09B42B7D" w14:textId="77777777" w:rsidTr="00213124">
        <w:tc>
          <w:tcPr>
            <w:tcW w:w="6786" w:type="dxa"/>
          </w:tcPr>
          <w:p w14:paraId="10A569BA" w14:textId="4951A19E" w:rsidR="00C61F1E" w:rsidRPr="00C61F1E" w:rsidRDefault="00C61F1E" w:rsidP="00DC6F9D">
            <w:pPr>
              <w:jc w:val="both"/>
              <w:rPr>
                <w:sz w:val="20"/>
              </w:rPr>
            </w:pPr>
            <w:r w:rsidRPr="00C61F1E">
              <w:rPr>
                <w:sz w:val="20"/>
              </w:rPr>
              <w:t>Property Acquisition Programme Sinking Fund</w:t>
            </w:r>
          </w:p>
        </w:tc>
        <w:tc>
          <w:tcPr>
            <w:tcW w:w="2233" w:type="dxa"/>
          </w:tcPr>
          <w:p w14:paraId="34D5D0B3" w14:textId="27E57C5E" w:rsidR="00C61F1E" w:rsidRPr="00C61F1E" w:rsidRDefault="00C61F1E" w:rsidP="00DC6F9D">
            <w:pPr>
              <w:jc w:val="right"/>
              <w:rPr>
                <w:sz w:val="20"/>
              </w:rPr>
            </w:pPr>
            <w:r w:rsidRPr="00C61F1E">
              <w:rPr>
                <w:sz w:val="20"/>
              </w:rPr>
              <w:t>319</w:t>
            </w:r>
          </w:p>
        </w:tc>
      </w:tr>
      <w:tr w:rsidR="00C61F1E" w:rsidRPr="00C61F1E" w14:paraId="28189917" w14:textId="77777777" w:rsidTr="00213124">
        <w:tc>
          <w:tcPr>
            <w:tcW w:w="6786" w:type="dxa"/>
          </w:tcPr>
          <w:p w14:paraId="3E03705A" w14:textId="3DDA1183" w:rsidR="00E037F5" w:rsidRPr="00C61F1E" w:rsidRDefault="00E037F5" w:rsidP="00DC6F9D">
            <w:pPr>
              <w:jc w:val="both"/>
              <w:rPr>
                <w:rFonts w:cs="Arial"/>
                <w:bCs/>
                <w:sz w:val="20"/>
              </w:rPr>
            </w:pPr>
            <w:r w:rsidRPr="00C61F1E">
              <w:rPr>
                <w:b/>
                <w:bCs/>
                <w:sz w:val="20"/>
              </w:rPr>
              <w:t>Place net draw down</w:t>
            </w:r>
          </w:p>
        </w:tc>
        <w:tc>
          <w:tcPr>
            <w:tcW w:w="2233" w:type="dxa"/>
          </w:tcPr>
          <w:p w14:paraId="24FA0EDA" w14:textId="09D5BEDA" w:rsidR="00E037F5" w:rsidRPr="00C61F1E" w:rsidRDefault="00C61F1E" w:rsidP="00DC6F9D">
            <w:pPr>
              <w:jc w:val="right"/>
              <w:rPr>
                <w:rFonts w:cs="Arial"/>
                <w:b/>
                <w:sz w:val="20"/>
              </w:rPr>
            </w:pPr>
            <w:r w:rsidRPr="00C61F1E">
              <w:rPr>
                <w:rFonts w:cs="Arial"/>
                <w:b/>
                <w:sz w:val="20"/>
              </w:rPr>
              <w:t>7,99</w:t>
            </w:r>
            <w:r w:rsidR="009C0E07">
              <w:rPr>
                <w:rFonts w:cs="Arial"/>
                <w:b/>
                <w:sz w:val="20"/>
              </w:rPr>
              <w:t>3</w:t>
            </w:r>
          </w:p>
        </w:tc>
      </w:tr>
      <w:tr w:rsidR="009C0E07" w:rsidRPr="00C61F1E" w14:paraId="5C9F8B19" w14:textId="77777777" w:rsidTr="00213124">
        <w:tc>
          <w:tcPr>
            <w:tcW w:w="6786" w:type="dxa"/>
          </w:tcPr>
          <w:p w14:paraId="3D89F63B" w14:textId="0DD18AAE" w:rsidR="009C0E07" w:rsidRPr="009C0E07" w:rsidRDefault="009C0E07" w:rsidP="00DC6F9D">
            <w:pPr>
              <w:jc w:val="both"/>
              <w:rPr>
                <w:sz w:val="20"/>
              </w:rPr>
            </w:pPr>
            <w:r>
              <w:rPr>
                <w:sz w:val="20"/>
              </w:rPr>
              <w:t>Corporate Funding</w:t>
            </w:r>
          </w:p>
        </w:tc>
        <w:tc>
          <w:tcPr>
            <w:tcW w:w="2233" w:type="dxa"/>
          </w:tcPr>
          <w:p w14:paraId="70B7F785" w14:textId="63039B3D" w:rsidR="009C0E07" w:rsidRPr="009C0E07" w:rsidRDefault="009C0E07" w:rsidP="00DC6F9D">
            <w:pPr>
              <w:jc w:val="right"/>
              <w:rPr>
                <w:rFonts w:cs="Arial"/>
                <w:bCs/>
                <w:sz w:val="20"/>
              </w:rPr>
            </w:pPr>
            <w:r w:rsidRPr="009C0E07">
              <w:rPr>
                <w:rFonts w:cs="Arial"/>
                <w:bCs/>
                <w:sz w:val="20"/>
              </w:rPr>
              <w:t>496</w:t>
            </w:r>
          </w:p>
        </w:tc>
      </w:tr>
      <w:tr w:rsidR="009C0E07" w:rsidRPr="00C61F1E" w14:paraId="55A1AE4F" w14:textId="77777777" w:rsidTr="00213124">
        <w:tc>
          <w:tcPr>
            <w:tcW w:w="6786" w:type="dxa"/>
          </w:tcPr>
          <w:p w14:paraId="1A7E39B2" w14:textId="5D1E6D92" w:rsidR="009C0E07" w:rsidRPr="009C0E07" w:rsidRDefault="009C0E07" w:rsidP="00DC6F9D">
            <w:pPr>
              <w:jc w:val="both"/>
              <w:rPr>
                <w:b/>
                <w:bCs/>
                <w:sz w:val="20"/>
              </w:rPr>
            </w:pPr>
            <w:r w:rsidRPr="009C0E07">
              <w:rPr>
                <w:b/>
                <w:bCs/>
                <w:sz w:val="20"/>
              </w:rPr>
              <w:t>Place total draw down</w:t>
            </w:r>
          </w:p>
        </w:tc>
        <w:tc>
          <w:tcPr>
            <w:tcW w:w="2233" w:type="dxa"/>
          </w:tcPr>
          <w:p w14:paraId="77781A9B" w14:textId="22FD2002" w:rsidR="009C0E07" w:rsidRDefault="009C0E07" w:rsidP="00DC6F9D">
            <w:pPr>
              <w:jc w:val="right"/>
              <w:rPr>
                <w:rFonts w:cs="Arial"/>
                <w:b/>
                <w:sz w:val="20"/>
              </w:rPr>
            </w:pPr>
            <w:r>
              <w:rPr>
                <w:rFonts w:cs="Arial"/>
                <w:b/>
                <w:sz w:val="20"/>
              </w:rPr>
              <w:t>7,497</w:t>
            </w:r>
          </w:p>
        </w:tc>
      </w:tr>
    </w:tbl>
    <w:p w14:paraId="0FADF090" w14:textId="77777777" w:rsidR="00B83B56" w:rsidRPr="00C61F1E" w:rsidRDefault="00B83B56" w:rsidP="00F5674D">
      <w:pPr>
        <w:pStyle w:val="ListParagraph"/>
        <w:ind w:left="567"/>
        <w:jc w:val="both"/>
        <w:rPr>
          <w:rFonts w:cs="Arial"/>
          <w:bCs/>
        </w:rPr>
      </w:pPr>
    </w:p>
    <w:p w14:paraId="7BB2E7F1" w14:textId="7FE9C5D5" w:rsidR="003D3DFD" w:rsidRPr="00C61F1E" w:rsidRDefault="003D3DFD" w:rsidP="00AF06B3">
      <w:pPr>
        <w:pStyle w:val="ListParagraph"/>
        <w:numPr>
          <w:ilvl w:val="0"/>
          <w:numId w:val="4"/>
        </w:numPr>
        <w:ind w:left="567" w:hanging="567"/>
        <w:jc w:val="both"/>
        <w:rPr>
          <w:rFonts w:cs="Arial"/>
          <w:bCs/>
        </w:rPr>
      </w:pPr>
      <w:r w:rsidRPr="00C61F1E">
        <w:rPr>
          <w:rFonts w:cs="Arial"/>
          <w:bCs/>
        </w:rPr>
        <w:t>The net overspend of £</w:t>
      </w:r>
      <w:r w:rsidR="00C61F1E" w:rsidRPr="00C61F1E">
        <w:rPr>
          <w:rFonts w:cs="Arial"/>
          <w:bCs/>
        </w:rPr>
        <w:t>3.988</w:t>
      </w:r>
      <w:r w:rsidRPr="00C61F1E">
        <w:rPr>
          <w:rFonts w:cs="Arial"/>
          <w:bCs/>
        </w:rPr>
        <w:t>m is set out in the following paragraphs</w:t>
      </w:r>
    </w:p>
    <w:p w14:paraId="7BDD3E86" w14:textId="77777777" w:rsidR="003D3DFD" w:rsidRPr="00C61F1E" w:rsidRDefault="003D3DFD" w:rsidP="003D3DFD">
      <w:pPr>
        <w:pStyle w:val="ListParagraph"/>
        <w:ind w:left="567"/>
        <w:jc w:val="both"/>
        <w:rPr>
          <w:rFonts w:cs="Arial"/>
          <w:bCs/>
        </w:rPr>
      </w:pPr>
    </w:p>
    <w:p w14:paraId="04728480" w14:textId="7F054D0B" w:rsidR="00960DF8" w:rsidRPr="00C61F1E" w:rsidRDefault="00D207F0" w:rsidP="008658DF">
      <w:pPr>
        <w:pStyle w:val="ListParagraph"/>
        <w:numPr>
          <w:ilvl w:val="0"/>
          <w:numId w:val="4"/>
        </w:numPr>
        <w:ind w:left="567" w:hanging="567"/>
        <w:jc w:val="both"/>
        <w:rPr>
          <w:rFonts w:cs="Arial"/>
          <w:bCs/>
        </w:rPr>
      </w:pPr>
      <w:r w:rsidRPr="00C61F1E">
        <w:rPr>
          <w:rFonts w:cs="Arial"/>
          <w:b/>
          <w:szCs w:val="24"/>
        </w:rPr>
        <w:t xml:space="preserve">Directorate Management </w:t>
      </w:r>
      <w:r w:rsidRPr="00C61F1E">
        <w:rPr>
          <w:rFonts w:cs="Arial"/>
          <w:bCs/>
          <w:szCs w:val="24"/>
        </w:rPr>
        <w:t>– £</w:t>
      </w:r>
      <w:r w:rsidR="003D3DFD" w:rsidRPr="00C61F1E">
        <w:rPr>
          <w:rFonts w:cs="Arial"/>
          <w:bCs/>
          <w:szCs w:val="24"/>
        </w:rPr>
        <w:t>1.</w:t>
      </w:r>
      <w:r w:rsidR="00C61F1E" w:rsidRPr="00C61F1E">
        <w:rPr>
          <w:rFonts w:cs="Arial"/>
          <w:bCs/>
          <w:szCs w:val="24"/>
        </w:rPr>
        <w:t>116</w:t>
      </w:r>
      <w:r w:rsidR="003D3DFD" w:rsidRPr="00C61F1E">
        <w:rPr>
          <w:rFonts w:cs="Arial"/>
          <w:bCs/>
          <w:szCs w:val="24"/>
        </w:rPr>
        <w:t>m</w:t>
      </w:r>
      <w:r w:rsidRPr="00C61F1E">
        <w:rPr>
          <w:rFonts w:cs="Arial"/>
          <w:bCs/>
          <w:szCs w:val="24"/>
        </w:rPr>
        <w:t xml:space="preserve"> net overspend</w:t>
      </w:r>
      <w:r w:rsidR="005576B4" w:rsidRPr="00C61F1E">
        <w:rPr>
          <w:rFonts w:cs="Arial"/>
          <w:bCs/>
          <w:szCs w:val="24"/>
        </w:rPr>
        <w:t xml:space="preserve">. </w:t>
      </w:r>
      <w:r w:rsidR="00C61F1E" w:rsidRPr="00C61F1E">
        <w:rPr>
          <w:rFonts w:cs="Arial"/>
          <w:bCs/>
        </w:rPr>
        <w:t xml:space="preserve">The legacy of the COVID-19 pandemic continued to have an impact on the directorate’s ability to generate income. As part of the MTFS process, budget growth of £2.482m was allocated to recognise this impact and help mitigate against any such losses. </w:t>
      </w:r>
      <w:proofErr w:type="gramStart"/>
      <w:r w:rsidR="00C61F1E" w:rsidRPr="00C61F1E">
        <w:rPr>
          <w:rFonts w:cs="Arial"/>
          <w:bCs/>
        </w:rPr>
        <w:t>However</w:t>
      </w:r>
      <w:proofErr w:type="gramEnd"/>
      <w:r w:rsidR="00C61F1E" w:rsidRPr="00C61F1E">
        <w:rPr>
          <w:rFonts w:cs="Arial"/>
          <w:bCs/>
        </w:rPr>
        <w:t xml:space="preserve"> the loss of income was £1.070m greater than the growth allocation. In addition</w:t>
      </w:r>
      <w:r w:rsidR="00C61F1E">
        <w:rPr>
          <w:rFonts w:cs="Arial"/>
          <w:bCs/>
        </w:rPr>
        <w:t>,</w:t>
      </w:r>
      <w:r w:rsidR="00C61F1E" w:rsidRPr="00C61F1E">
        <w:rPr>
          <w:rFonts w:cs="Arial"/>
          <w:bCs/>
        </w:rPr>
        <w:t xml:space="preserve"> there was a £45k pressure in relation to recruitment costs.</w:t>
      </w:r>
      <w:r w:rsidR="008658DF" w:rsidRPr="00C61F1E">
        <w:rPr>
          <w:rFonts w:cs="Arial"/>
          <w:bCs/>
        </w:rPr>
        <w:t xml:space="preserve"> </w:t>
      </w:r>
      <w:r w:rsidRPr="00C61F1E">
        <w:rPr>
          <w:rFonts w:cs="Arial"/>
          <w:bCs/>
        </w:rPr>
        <w:t xml:space="preserve"> </w:t>
      </w:r>
    </w:p>
    <w:p w14:paraId="5D479713" w14:textId="77777777" w:rsidR="005576B4" w:rsidRPr="006160A2" w:rsidRDefault="005576B4" w:rsidP="005576B4">
      <w:pPr>
        <w:pStyle w:val="ListParagraph"/>
        <w:ind w:left="567"/>
        <w:jc w:val="both"/>
        <w:rPr>
          <w:rFonts w:cs="Arial"/>
          <w:bCs/>
          <w:color w:val="FF0000"/>
        </w:rPr>
      </w:pPr>
    </w:p>
    <w:p w14:paraId="742FC454" w14:textId="0AAA9D5D" w:rsidR="005576B4" w:rsidRPr="00C61F1E" w:rsidRDefault="005576B4" w:rsidP="00AF06B3">
      <w:pPr>
        <w:pStyle w:val="ListParagraph"/>
        <w:numPr>
          <w:ilvl w:val="0"/>
          <w:numId w:val="4"/>
        </w:numPr>
        <w:ind w:left="567" w:hanging="567"/>
        <w:jc w:val="both"/>
        <w:rPr>
          <w:rFonts w:cs="Arial"/>
          <w:bCs/>
        </w:rPr>
      </w:pPr>
      <w:r w:rsidRPr="00C61F1E">
        <w:rPr>
          <w:rFonts w:cs="Arial"/>
          <w:b/>
          <w:szCs w:val="24"/>
        </w:rPr>
        <w:t>Environment</w:t>
      </w:r>
      <w:r w:rsidRPr="00C61F1E">
        <w:rPr>
          <w:rFonts w:cs="Arial"/>
          <w:bCs/>
          <w:szCs w:val="24"/>
        </w:rPr>
        <w:t xml:space="preserve"> - £</w:t>
      </w:r>
      <w:r w:rsidR="00C61F1E" w:rsidRPr="00C61F1E">
        <w:rPr>
          <w:rFonts w:cs="Arial"/>
          <w:bCs/>
          <w:szCs w:val="24"/>
        </w:rPr>
        <w:t>948</w:t>
      </w:r>
      <w:r w:rsidRPr="00C61F1E">
        <w:rPr>
          <w:rFonts w:cs="Arial"/>
          <w:bCs/>
          <w:szCs w:val="24"/>
        </w:rPr>
        <w:t xml:space="preserve">k net </w:t>
      </w:r>
      <w:r w:rsidR="008658DF" w:rsidRPr="00C61F1E">
        <w:rPr>
          <w:rFonts w:cs="Arial"/>
          <w:bCs/>
          <w:szCs w:val="24"/>
        </w:rPr>
        <w:t>und</w:t>
      </w:r>
      <w:r w:rsidRPr="00C61F1E">
        <w:rPr>
          <w:rFonts w:cs="Arial"/>
          <w:bCs/>
          <w:szCs w:val="24"/>
        </w:rPr>
        <w:t>erspend. This is made up as follows:</w:t>
      </w:r>
    </w:p>
    <w:p w14:paraId="7729C923" w14:textId="77777777" w:rsidR="00BE0099" w:rsidRPr="00C61F1E" w:rsidRDefault="00BE0099" w:rsidP="00BE0099">
      <w:pPr>
        <w:pStyle w:val="ListParagraph"/>
        <w:ind w:left="1418"/>
        <w:jc w:val="both"/>
        <w:rPr>
          <w:rFonts w:cs="Arial"/>
          <w:bCs/>
        </w:rPr>
      </w:pPr>
    </w:p>
    <w:p w14:paraId="527DC92E" w14:textId="5C0E6E3E" w:rsidR="008D57F5" w:rsidRPr="00C61F1E" w:rsidRDefault="008D57F5" w:rsidP="00AF06B3">
      <w:pPr>
        <w:pStyle w:val="ListParagraph"/>
        <w:numPr>
          <w:ilvl w:val="1"/>
          <w:numId w:val="4"/>
        </w:numPr>
        <w:ind w:left="1418" w:hanging="567"/>
        <w:jc w:val="both"/>
        <w:rPr>
          <w:rFonts w:cs="Arial"/>
          <w:bCs/>
        </w:rPr>
      </w:pPr>
      <w:r w:rsidRPr="00C61F1E">
        <w:rPr>
          <w:rFonts w:cs="Arial"/>
          <w:b/>
        </w:rPr>
        <w:t>Fuel &amp; Energy</w:t>
      </w:r>
      <w:r w:rsidRPr="00C61F1E">
        <w:rPr>
          <w:rFonts w:cs="Arial"/>
          <w:bCs/>
        </w:rPr>
        <w:t xml:space="preserve"> - £1.</w:t>
      </w:r>
      <w:r w:rsidR="00C61F1E" w:rsidRPr="00C61F1E">
        <w:rPr>
          <w:rFonts w:cs="Arial"/>
          <w:bCs/>
        </w:rPr>
        <w:t>179</w:t>
      </w:r>
      <w:r w:rsidRPr="00C61F1E">
        <w:rPr>
          <w:rFonts w:cs="Arial"/>
          <w:bCs/>
        </w:rPr>
        <w:t>m net overspend</w:t>
      </w:r>
      <w:r w:rsidR="009C0E07">
        <w:rPr>
          <w:rFonts w:cs="Arial"/>
          <w:bCs/>
        </w:rPr>
        <w:t xml:space="preserve"> funded by centrally held non-pay inflation budget</w:t>
      </w:r>
    </w:p>
    <w:p w14:paraId="3ED1840B" w14:textId="31C6264C" w:rsidR="00C61F1E" w:rsidRPr="00C61F1E" w:rsidRDefault="00C61F1E" w:rsidP="00AF06B3">
      <w:pPr>
        <w:pStyle w:val="ListParagraph"/>
        <w:numPr>
          <w:ilvl w:val="1"/>
          <w:numId w:val="4"/>
        </w:numPr>
        <w:ind w:left="1418" w:hanging="567"/>
        <w:jc w:val="both"/>
        <w:rPr>
          <w:rFonts w:cs="Arial"/>
          <w:bCs/>
        </w:rPr>
      </w:pPr>
      <w:r w:rsidRPr="00C61F1E">
        <w:rPr>
          <w:rFonts w:cs="Arial"/>
          <w:b/>
        </w:rPr>
        <w:t>Waste Disposal</w:t>
      </w:r>
      <w:r w:rsidRPr="00C61F1E">
        <w:rPr>
          <w:rFonts w:cs="Arial"/>
          <w:bCs/>
        </w:rPr>
        <w:t xml:space="preserve"> - £990k net under</w:t>
      </w:r>
      <w:r w:rsidR="009C0E07">
        <w:rPr>
          <w:rFonts w:cs="Arial"/>
          <w:bCs/>
        </w:rPr>
        <w:t>s</w:t>
      </w:r>
      <w:r w:rsidRPr="00C61F1E">
        <w:rPr>
          <w:rFonts w:cs="Arial"/>
          <w:bCs/>
        </w:rPr>
        <w:t>pend. This is due to favourable market conditions during the first half o</w:t>
      </w:r>
      <w:r w:rsidR="009C0E07">
        <w:rPr>
          <w:rFonts w:cs="Arial"/>
          <w:bCs/>
        </w:rPr>
        <w:t>f</w:t>
      </w:r>
      <w:r w:rsidRPr="00C61F1E">
        <w:rPr>
          <w:rFonts w:cs="Arial"/>
          <w:bCs/>
        </w:rPr>
        <w:t xml:space="preserve"> </w:t>
      </w:r>
      <w:r w:rsidR="009C0E07">
        <w:rPr>
          <w:rFonts w:cs="Arial"/>
          <w:bCs/>
        </w:rPr>
        <w:t>t</w:t>
      </w:r>
      <w:r w:rsidRPr="00C61F1E">
        <w:rPr>
          <w:rFonts w:cs="Arial"/>
          <w:bCs/>
        </w:rPr>
        <w:t>he financial year which resulted in lower dispo</w:t>
      </w:r>
      <w:r w:rsidR="009C0E07">
        <w:rPr>
          <w:rFonts w:cs="Arial"/>
          <w:bCs/>
        </w:rPr>
        <w:t>s</w:t>
      </w:r>
      <w:r w:rsidRPr="00C61F1E">
        <w:rPr>
          <w:rFonts w:cs="Arial"/>
          <w:bCs/>
        </w:rPr>
        <w:t>al costs for dry recyclables</w:t>
      </w:r>
    </w:p>
    <w:p w14:paraId="496F85D7" w14:textId="5375F410" w:rsidR="00C61F1E" w:rsidRPr="00C61F1E" w:rsidRDefault="00C61F1E" w:rsidP="00AF06B3">
      <w:pPr>
        <w:pStyle w:val="ListParagraph"/>
        <w:numPr>
          <w:ilvl w:val="1"/>
          <w:numId w:val="4"/>
        </w:numPr>
        <w:ind w:left="1418" w:hanging="567"/>
        <w:jc w:val="both"/>
        <w:rPr>
          <w:rFonts w:cs="Arial"/>
          <w:bCs/>
        </w:rPr>
      </w:pPr>
      <w:r w:rsidRPr="00C61F1E">
        <w:rPr>
          <w:rFonts w:cs="Arial"/>
          <w:b/>
        </w:rPr>
        <w:t>Network Management</w:t>
      </w:r>
      <w:r w:rsidRPr="00C61F1E">
        <w:rPr>
          <w:rFonts w:cs="Arial"/>
          <w:bCs/>
        </w:rPr>
        <w:t xml:space="preserve"> – net underspend £521k due to additional income from street works activity</w:t>
      </w:r>
    </w:p>
    <w:p w14:paraId="6F20DEC7" w14:textId="2A71789F" w:rsidR="00C61F1E" w:rsidRPr="00C61F1E" w:rsidRDefault="00C61F1E" w:rsidP="00AF06B3">
      <w:pPr>
        <w:pStyle w:val="ListParagraph"/>
        <w:numPr>
          <w:ilvl w:val="1"/>
          <w:numId w:val="4"/>
        </w:numPr>
        <w:ind w:left="1418" w:hanging="567"/>
        <w:jc w:val="both"/>
        <w:rPr>
          <w:rFonts w:cs="Arial"/>
          <w:bCs/>
        </w:rPr>
      </w:pPr>
      <w:r w:rsidRPr="00C61F1E">
        <w:rPr>
          <w:rFonts w:cs="Arial"/>
          <w:b/>
        </w:rPr>
        <w:t>Trade Waste</w:t>
      </w:r>
      <w:r w:rsidRPr="00C61F1E">
        <w:rPr>
          <w:rFonts w:cs="Arial"/>
          <w:bCs/>
        </w:rPr>
        <w:t xml:space="preserve"> – net underspend £150k due to additional income</w:t>
      </w:r>
    </w:p>
    <w:p w14:paraId="5E2D36FC" w14:textId="58ECCCDD" w:rsidR="00C61F1E" w:rsidRDefault="00C61F1E" w:rsidP="00AF06B3">
      <w:pPr>
        <w:pStyle w:val="ListParagraph"/>
        <w:numPr>
          <w:ilvl w:val="1"/>
          <w:numId w:val="4"/>
        </w:numPr>
        <w:ind w:left="1418" w:hanging="567"/>
        <w:jc w:val="both"/>
        <w:rPr>
          <w:rFonts w:cs="Arial"/>
          <w:bCs/>
        </w:rPr>
      </w:pPr>
      <w:r w:rsidRPr="00C61F1E">
        <w:rPr>
          <w:rFonts w:cs="Arial"/>
          <w:b/>
        </w:rPr>
        <w:t>Staffing</w:t>
      </w:r>
      <w:r w:rsidRPr="00C61F1E">
        <w:rPr>
          <w:rFonts w:cs="Arial"/>
          <w:bCs/>
        </w:rPr>
        <w:t xml:space="preserve"> – net underspend £643k due to vacant posts across various service areas</w:t>
      </w:r>
    </w:p>
    <w:p w14:paraId="0F7C1B05" w14:textId="27F07DDA" w:rsidR="00C61F1E" w:rsidRPr="00C61F1E" w:rsidRDefault="00C61F1E" w:rsidP="00AF06B3">
      <w:pPr>
        <w:pStyle w:val="ListParagraph"/>
        <w:numPr>
          <w:ilvl w:val="1"/>
          <w:numId w:val="4"/>
        </w:numPr>
        <w:ind w:left="1418" w:hanging="567"/>
        <w:jc w:val="both"/>
        <w:rPr>
          <w:rFonts w:cs="Arial"/>
          <w:bCs/>
        </w:rPr>
      </w:pPr>
      <w:r>
        <w:rPr>
          <w:rFonts w:cs="Arial"/>
          <w:b/>
        </w:rPr>
        <w:t>Transport</w:t>
      </w:r>
      <w:r>
        <w:rPr>
          <w:rFonts w:cs="Arial"/>
          <w:bCs/>
        </w:rPr>
        <w:t xml:space="preserve"> – net overspend £87k</w:t>
      </w:r>
      <w:r w:rsidR="001843E2">
        <w:rPr>
          <w:rFonts w:cs="Arial"/>
          <w:bCs/>
        </w:rPr>
        <w:t xml:space="preserve"> on vehicle running costs due to additional repairs on aged vehicles.</w:t>
      </w:r>
    </w:p>
    <w:p w14:paraId="30424E62" w14:textId="77777777" w:rsidR="00A30DD9" w:rsidRPr="001843E2" w:rsidRDefault="00A30DD9" w:rsidP="00A30DD9">
      <w:pPr>
        <w:pStyle w:val="ListParagraph"/>
        <w:rPr>
          <w:rFonts w:cs="Arial"/>
          <w:bCs/>
        </w:rPr>
      </w:pPr>
    </w:p>
    <w:p w14:paraId="48BB8A5E" w14:textId="37CDB1FA" w:rsidR="00A30DD9" w:rsidRPr="001843E2" w:rsidRDefault="00DC7010" w:rsidP="00E52249">
      <w:pPr>
        <w:pStyle w:val="ListParagraph"/>
        <w:numPr>
          <w:ilvl w:val="0"/>
          <w:numId w:val="4"/>
        </w:numPr>
        <w:ind w:left="567" w:hanging="567"/>
        <w:jc w:val="both"/>
        <w:rPr>
          <w:rFonts w:cs="Arial"/>
          <w:bCs/>
        </w:rPr>
      </w:pPr>
      <w:r w:rsidRPr="001843E2">
        <w:rPr>
          <w:rFonts w:cs="Arial"/>
          <w:b/>
        </w:rPr>
        <w:t xml:space="preserve">Inclusive Economy, </w:t>
      </w:r>
      <w:proofErr w:type="gramStart"/>
      <w:r w:rsidRPr="001843E2">
        <w:rPr>
          <w:rFonts w:cs="Arial"/>
          <w:b/>
        </w:rPr>
        <w:t>Leisure</w:t>
      </w:r>
      <w:proofErr w:type="gramEnd"/>
      <w:r w:rsidRPr="001843E2">
        <w:rPr>
          <w:rFonts w:cs="Arial"/>
          <w:b/>
        </w:rPr>
        <w:t xml:space="preserve"> and Culture</w:t>
      </w:r>
      <w:r w:rsidRPr="001843E2">
        <w:rPr>
          <w:rFonts w:cs="Arial"/>
          <w:bCs/>
        </w:rPr>
        <w:t xml:space="preserve"> - £</w:t>
      </w:r>
      <w:r w:rsidR="001843E2" w:rsidRPr="001843E2">
        <w:rPr>
          <w:rFonts w:cs="Arial"/>
          <w:bCs/>
        </w:rPr>
        <w:t>351</w:t>
      </w:r>
      <w:r w:rsidRPr="001843E2">
        <w:rPr>
          <w:rFonts w:cs="Arial"/>
          <w:bCs/>
        </w:rPr>
        <w:t>k net overspend.</w:t>
      </w:r>
      <w:r w:rsidR="00751C64" w:rsidRPr="001843E2">
        <w:rPr>
          <w:rFonts w:cs="Arial"/>
          <w:bCs/>
        </w:rPr>
        <w:t xml:space="preserve"> </w:t>
      </w:r>
    </w:p>
    <w:p w14:paraId="6931908B" w14:textId="77777777" w:rsidR="001843E2" w:rsidRPr="001843E2" w:rsidRDefault="001843E2" w:rsidP="001843E2">
      <w:pPr>
        <w:jc w:val="both"/>
        <w:rPr>
          <w:rFonts w:cs="Arial"/>
          <w:bCs/>
        </w:rPr>
      </w:pPr>
    </w:p>
    <w:p w14:paraId="60720DB9" w14:textId="73CD6B23" w:rsidR="001843E2" w:rsidRPr="001843E2" w:rsidRDefault="001843E2" w:rsidP="00CA26B0">
      <w:pPr>
        <w:pStyle w:val="ListParagraph"/>
        <w:numPr>
          <w:ilvl w:val="0"/>
          <w:numId w:val="31"/>
        </w:numPr>
        <w:ind w:left="1418" w:hanging="567"/>
        <w:jc w:val="both"/>
        <w:rPr>
          <w:rFonts w:cs="Arial"/>
          <w:b/>
        </w:rPr>
      </w:pPr>
      <w:r w:rsidRPr="001843E2">
        <w:rPr>
          <w:rFonts w:cs="Arial"/>
          <w:b/>
        </w:rPr>
        <w:t>Fuel &amp; Energy</w:t>
      </w:r>
      <w:r w:rsidRPr="001843E2">
        <w:rPr>
          <w:rFonts w:cs="Arial"/>
          <w:bCs/>
        </w:rPr>
        <w:t xml:space="preserve"> – £279k net overspend</w:t>
      </w:r>
    </w:p>
    <w:p w14:paraId="0974D0F0" w14:textId="081F1A62" w:rsidR="00CA26B0" w:rsidRPr="001843E2" w:rsidRDefault="001843E2" w:rsidP="00CA26B0">
      <w:pPr>
        <w:pStyle w:val="ListParagraph"/>
        <w:numPr>
          <w:ilvl w:val="0"/>
          <w:numId w:val="31"/>
        </w:numPr>
        <w:ind w:left="1418" w:hanging="567"/>
        <w:jc w:val="both"/>
        <w:rPr>
          <w:rFonts w:cs="Arial"/>
          <w:b/>
        </w:rPr>
      </w:pPr>
      <w:r w:rsidRPr="001843E2">
        <w:rPr>
          <w:rFonts w:cs="Arial"/>
          <w:b/>
        </w:rPr>
        <w:t>Cultural Services</w:t>
      </w:r>
      <w:r w:rsidRPr="001843E2">
        <w:rPr>
          <w:rFonts w:cs="Arial"/>
          <w:bCs/>
        </w:rPr>
        <w:t xml:space="preserve"> – £187k net overspend due to business rates and service overhead costs of £113k at Harrow Arts Centre and service overhead costs of £74k at Harrow Museum.</w:t>
      </w:r>
    </w:p>
    <w:p w14:paraId="2BBECF0C" w14:textId="0637E094" w:rsidR="001843E2" w:rsidRPr="001843E2" w:rsidRDefault="001843E2" w:rsidP="00CA26B0">
      <w:pPr>
        <w:pStyle w:val="ListParagraph"/>
        <w:numPr>
          <w:ilvl w:val="0"/>
          <w:numId w:val="31"/>
        </w:numPr>
        <w:ind w:left="1418" w:hanging="567"/>
        <w:jc w:val="both"/>
        <w:rPr>
          <w:rFonts w:cs="Arial"/>
          <w:b/>
        </w:rPr>
      </w:pPr>
      <w:r w:rsidRPr="001843E2">
        <w:rPr>
          <w:rFonts w:cs="Arial"/>
          <w:b/>
        </w:rPr>
        <w:t>Economy</w:t>
      </w:r>
      <w:r w:rsidRPr="001843E2">
        <w:rPr>
          <w:rFonts w:cs="Arial"/>
          <w:bCs/>
        </w:rPr>
        <w:t xml:space="preserve"> - £115k net underspend due to f</w:t>
      </w:r>
      <w:r w:rsidR="009C0E07">
        <w:rPr>
          <w:rFonts w:cs="Arial"/>
          <w:bCs/>
        </w:rPr>
        <w:t>ewer</w:t>
      </w:r>
      <w:r w:rsidRPr="001843E2">
        <w:rPr>
          <w:rFonts w:cs="Arial"/>
          <w:bCs/>
        </w:rPr>
        <w:t xml:space="preserve"> requests on ward priority fund budget £75k and underspends in relat</w:t>
      </w:r>
      <w:r w:rsidR="009C0E07">
        <w:rPr>
          <w:rFonts w:cs="Arial"/>
          <w:bCs/>
        </w:rPr>
        <w:t>i</w:t>
      </w:r>
      <w:r w:rsidRPr="001843E2">
        <w:rPr>
          <w:rFonts w:cs="Arial"/>
          <w:bCs/>
        </w:rPr>
        <w:t>on to vacant posts £40k.</w:t>
      </w:r>
    </w:p>
    <w:p w14:paraId="1A947379" w14:textId="77777777" w:rsidR="00CA26B0" w:rsidRPr="006160A2" w:rsidRDefault="00CA26B0" w:rsidP="00CA26B0">
      <w:pPr>
        <w:pStyle w:val="ListParagraph"/>
        <w:ind w:left="1418" w:hanging="567"/>
        <w:jc w:val="both"/>
        <w:rPr>
          <w:rFonts w:cs="Arial"/>
          <w:b/>
          <w:color w:val="FF0000"/>
        </w:rPr>
      </w:pPr>
    </w:p>
    <w:p w14:paraId="2916FD21" w14:textId="4C07981B" w:rsidR="00DC7010" w:rsidRPr="001843E2" w:rsidRDefault="00DC7010" w:rsidP="00AF06B3">
      <w:pPr>
        <w:pStyle w:val="ListParagraph"/>
        <w:numPr>
          <w:ilvl w:val="0"/>
          <w:numId w:val="4"/>
        </w:numPr>
        <w:ind w:left="567" w:hanging="567"/>
        <w:jc w:val="both"/>
        <w:rPr>
          <w:rFonts w:cs="Arial"/>
          <w:bCs/>
        </w:rPr>
      </w:pPr>
      <w:r w:rsidRPr="001843E2">
        <w:rPr>
          <w:rFonts w:cs="Arial"/>
          <w:b/>
        </w:rPr>
        <w:lastRenderedPageBreak/>
        <w:t>Regeneration and Sustainable Development</w:t>
      </w:r>
      <w:r w:rsidRPr="001843E2">
        <w:rPr>
          <w:rFonts w:cs="Arial"/>
          <w:bCs/>
        </w:rPr>
        <w:t xml:space="preserve"> - £</w:t>
      </w:r>
      <w:r w:rsidR="001843E2" w:rsidRPr="001843E2">
        <w:rPr>
          <w:rFonts w:cs="Arial"/>
          <w:bCs/>
        </w:rPr>
        <w:t>3.521m</w:t>
      </w:r>
      <w:r w:rsidRPr="001843E2">
        <w:rPr>
          <w:rFonts w:cs="Arial"/>
          <w:bCs/>
        </w:rPr>
        <w:t xml:space="preserve"> net overspend</w:t>
      </w:r>
    </w:p>
    <w:p w14:paraId="2A9B4C50" w14:textId="77777777" w:rsidR="00BE0099" w:rsidRPr="001843E2" w:rsidRDefault="00BE0099" w:rsidP="00BE0099">
      <w:pPr>
        <w:pStyle w:val="ListParagraph"/>
        <w:ind w:left="1418"/>
        <w:jc w:val="both"/>
        <w:rPr>
          <w:rFonts w:cs="Arial"/>
          <w:bCs/>
        </w:rPr>
      </w:pPr>
    </w:p>
    <w:p w14:paraId="1F67FC92" w14:textId="77492B90" w:rsidR="00DC7010" w:rsidRPr="001843E2" w:rsidRDefault="00DC7010" w:rsidP="00AF06B3">
      <w:pPr>
        <w:pStyle w:val="ListParagraph"/>
        <w:numPr>
          <w:ilvl w:val="1"/>
          <w:numId w:val="4"/>
        </w:numPr>
        <w:ind w:left="1418" w:hanging="567"/>
        <w:jc w:val="both"/>
        <w:rPr>
          <w:rFonts w:cs="Arial"/>
          <w:bCs/>
        </w:rPr>
      </w:pPr>
      <w:r w:rsidRPr="001843E2">
        <w:rPr>
          <w:rFonts w:cs="Arial"/>
          <w:b/>
        </w:rPr>
        <w:t>Fuel &amp; Energy</w:t>
      </w:r>
      <w:r w:rsidRPr="001843E2">
        <w:rPr>
          <w:rFonts w:cs="Arial"/>
          <w:bCs/>
        </w:rPr>
        <w:t xml:space="preserve"> - £</w:t>
      </w:r>
      <w:r w:rsidR="00CA26B0" w:rsidRPr="001843E2">
        <w:rPr>
          <w:rFonts w:cs="Arial"/>
          <w:bCs/>
        </w:rPr>
        <w:t>9</w:t>
      </w:r>
      <w:r w:rsidR="001843E2" w:rsidRPr="001843E2">
        <w:rPr>
          <w:rFonts w:cs="Arial"/>
          <w:bCs/>
        </w:rPr>
        <w:t>92</w:t>
      </w:r>
      <w:r w:rsidRPr="001843E2">
        <w:rPr>
          <w:rFonts w:cs="Arial"/>
          <w:bCs/>
        </w:rPr>
        <w:t>k net overspend</w:t>
      </w:r>
    </w:p>
    <w:p w14:paraId="6D860D51" w14:textId="77777777" w:rsidR="00BE0099" w:rsidRPr="001843E2" w:rsidRDefault="00BE0099" w:rsidP="00BE0099">
      <w:pPr>
        <w:pStyle w:val="ListParagraph"/>
        <w:ind w:left="1418"/>
        <w:jc w:val="both"/>
        <w:rPr>
          <w:rFonts w:cs="Arial"/>
          <w:bCs/>
        </w:rPr>
      </w:pPr>
    </w:p>
    <w:p w14:paraId="50E10579" w14:textId="2FAD844A" w:rsidR="00DC7010" w:rsidRPr="001843E2" w:rsidRDefault="001843E2" w:rsidP="00AF06B3">
      <w:pPr>
        <w:pStyle w:val="ListParagraph"/>
        <w:numPr>
          <w:ilvl w:val="1"/>
          <w:numId w:val="4"/>
        </w:numPr>
        <w:ind w:left="1418" w:hanging="567"/>
        <w:jc w:val="both"/>
        <w:rPr>
          <w:rFonts w:cs="Arial"/>
          <w:bCs/>
        </w:rPr>
      </w:pPr>
      <w:r w:rsidRPr="001843E2">
        <w:rPr>
          <w:rFonts w:cs="Arial"/>
          <w:b/>
        </w:rPr>
        <w:t>Facilities Management</w:t>
      </w:r>
      <w:r w:rsidR="00DC7010" w:rsidRPr="001843E2">
        <w:rPr>
          <w:rFonts w:cs="Arial"/>
          <w:bCs/>
        </w:rPr>
        <w:t xml:space="preserve"> </w:t>
      </w:r>
      <w:r w:rsidR="00A30DD9" w:rsidRPr="001843E2">
        <w:rPr>
          <w:rFonts w:cs="Arial"/>
          <w:bCs/>
        </w:rPr>
        <w:t>–</w:t>
      </w:r>
      <w:r w:rsidR="00DC7010" w:rsidRPr="001843E2">
        <w:rPr>
          <w:rFonts w:cs="Arial"/>
          <w:bCs/>
        </w:rPr>
        <w:t xml:space="preserve"> </w:t>
      </w:r>
      <w:r w:rsidR="00A30DD9" w:rsidRPr="001843E2">
        <w:rPr>
          <w:rFonts w:cs="Arial"/>
          <w:bCs/>
        </w:rPr>
        <w:t>£</w:t>
      </w:r>
      <w:r w:rsidRPr="001843E2">
        <w:rPr>
          <w:rFonts w:cs="Arial"/>
          <w:bCs/>
        </w:rPr>
        <w:t>815k</w:t>
      </w:r>
      <w:r w:rsidR="00DC7010" w:rsidRPr="001843E2">
        <w:rPr>
          <w:rFonts w:cs="Arial"/>
          <w:bCs/>
        </w:rPr>
        <w:t xml:space="preserve"> net overspend</w:t>
      </w:r>
    </w:p>
    <w:p w14:paraId="049AA732" w14:textId="4E00D3C8" w:rsidR="00DC7010" w:rsidRPr="001843E2" w:rsidRDefault="001843E2" w:rsidP="00AF06B3">
      <w:pPr>
        <w:pStyle w:val="ListParagraph"/>
        <w:numPr>
          <w:ilvl w:val="2"/>
          <w:numId w:val="4"/>
        </w:numPr>
        <w:ind w:left="1701"/>
        <w:jc w:val="both"/>
        <w:rPr>
          <w:rFonts w:cs="Arial"/>
          <w:bCs/>
        </w:rPr>
      </w:pPr>
      <w:r w:rsidRPr="001843E2">
        <w:rPr>
          <w:rFonts w:cs="Arial"/>
          <w:bCs/>
        </w:rPr>
        <w:t>Security Services</w:t>
      </w:r>
      <w:r w:rsidR="00DC7010" w:rsidRPr="001843E2">
        <w:rPr>
          <w:rFonts w:cs="Arial"/>
          <w:bCs/>
        </w:rPr>
        <w:t xml:space="preserve"> - £</w:t>
      </w:r>
      <w:r w:rsidRPr="001843E2">
        <w:rPr>
          <w:rFonts w:cs="Arial"/>
          <w:bCs/>
        </w:rPr>
        <w:t>278</w:t>
      </w:r>
      <w:r w:rsidR="00CA26B0" w:rsidRPr="001843E2">
        <w:rPr>
          <w:rFonts w:cs="Arial"/>
          <w:bCs/>
        </w:rPr>
        <w:t>k</w:t>
      </w:r>
      <w:r w:rsidR="00DC7010" w:rsidRPr="001843E2">
        <w:rPr>
          <w:rFonts w:cs="Arial"/>
          <w:bCs/>
        </w:rPr>
        <w:t xml:space="preserve"> net overspend due to additional security staff</w:t>
      </w:r>
      <w:r w:rsidR="00CA26B0" w:rsidRPr="001843E2">
        <w:rPr>
          <w:rFonts w:cs="Arial"/>
          <w:bCs/>
        </w:rPr>
        <w:t xml:space="preserve"> </w:t>
      </w:r>
      <w:r w:rsidR="00DC7010" w:rsidRPr="001843E2">
        <w:rPr>
          <w:rFonts w:cs="Arial"/>
          <w:bCs/>
        </w:rPr>
        <w:t>across various council s</w:t>
      </w:r>
      <w:r w:rsidR="005E717F" w:rsidRPr="001843E2">
        <w:rPr>
          <w:rFonts w:cs="Arial"/>
          <w:bCs/>
        </w:rPr>
        <w:t>i</w:t>
      </w:r>
      <w:r w:rsidR="00DC7010" w:rsidRPr="001843E2">
        <w:rPr>
          <w:rFonts w:cs="Arial"/>
          <w:bCs/>
        </w:rPr>
        <w:t>t</w:t>
      </w:r>
      <w:r w:rsidR="005E717F" w:rsidRPr="001843E2">
        <w:rPr>
          <w:rFonts w:cs="Arial"/>
          <w:bCs/>
        </w:rPr>
        <w:t>es</w:t>
      </w:r>
      <w:r w:rsidRPr="001843E2">
        <w:rPr>
          <w:rFonts w:cs="Arial"/>
          <w:bCs/>
        </w:rPr>
        <w:t xml:space="preserve">, </w:t>
      </w:r>
      <w:r w:rsidR="00A30DD9" w:rsidRPr="001843E2">
        <w:rPr>
          <w:rFonts w:cs="Arial"/>
          <w:bCs/>
        </w:rPr>
        <w:t>£</w:t>
      </w:r>
      <w:r w:rsidRPr="001843E2">
        <w:rPr>
          <w:rFonts w:cs="Arial"/>
          <w:bCs/>
        </w:rPr>
        <w:t>79</w:t>
      </w:r>
      <w:r w:rsidR="00A30DD9" w:rsidRPr="001843E2">
        <w:rPr>
          <w:rFonts w:cs="Arial"/>
          <w:bCs/>
        </w:rPr>
        <w:t>k</w:t>
      </w:r>
      <w:r w:rsidR="00DC7010" w:rsidRPr="001843E2">
        <w:rPr>
          <w:rFonts w:cs="Arial"/>
          <w:bCs/>
        </w:rPr>
        <w:t xml:space="preserve"> corporate cleaning due to the opening of the Harrow Council Hub</w:t>
      </w:r>
      <w:r w:rsidR="005E717F" w:rsidRPr="001843E2">
        <w:rPr>
          <w:rFonts w:cs="Arial"/>
          <w:bCs/>
        </w:rPr>
        <w:t>,</w:t>
      </w:r>
      <w:r w:rsidR="00A30DD9" w:rsidRPr="001843E2">
        <w:rPr>
          <w:rFonts w:cs="Arial"/>
          <w:bCs/>
        </w:rPr>
        <w:t xml:space="preserve"> £</w:t>
      </w:r>
      <w:r w:rsidRPr="001843E2">
        <w:rPr>
          <w:rFonts w:cs="Arial"/>
          <w:bCs/>
        </w:rPr>
        <w:t>458</w:t>
      </w:r>
      <w:r w:rsidR="00A30DD9" w:rsidRPr="001843E2">
        <w:rPr>
          <w:rFonts w:cs="Arial"/>
          <w:bCs/>
        </w:rPr>
        <w:t>k building repairs and maintenance due to</w:t>
      </w:r>
      <w:r w:rsidRPr="001843E2">
        <w:rPr>
          <w:rFonts w:cs="Arial"/>
          <w:bCs/>
        </w:rPr>
        <w:t xml:space="preserve"> our ageing property portfolio</w:t>
      </w:r>
    </w:p>
    <w:p w14:paraId="2D0C6CB6" w14:textId="7B7914CC" w:rsidR="00DC7010" w:rsidRPr="001843E2" w:rsidRDefault="001843E2" w:rsidP="00AF06B3">
      <w:pPr>
        <w:pStyle w:val="ListParagraph"/>
        <w:numPr>
          <w:ilvl w:val="2"/>
          <w:numId w:val="4"/>
        </w:numPr>
        <w:ind w:left="1701"/>
        <w:jc w:val="both"/>
        <w:rPr>
          <w:rFonts w:cs="Arial"/>
          <w:bCs/>
        </w:rPr>
      </w:pPr>
      <w:r w:rsidRPr="001843E2">
        <w:rPr>
          <w:rFonts w:cs="Arial"/>
          <w:bCs/>
        </w:rPr>
        <w:t xml:space="preserve">Staffing </w:t>
      </w:r>
      <w:r w:rsidR="00DC7010" w:rsidRPr="001843E2">
        <w:rPr>
          <w:rFonts w:cs="Arial"/>
          <w:bCs/>
        </w:rPr>
        <w:t>– £</w:t>
      </w:r>
      <w:r w:rsidRPr="001843E2">
        <w:rPr>
          <w:rFonts w:cs="Arial"/>
          <w:bCs/>
        </w:rPr>
        <w:t>253</w:t>
      </w:r>
      <w:r w:rsidR="00DC7010" w:rsidRPr="001843E2">
        <w:rPr>
          <w:rFonts w:cs="Arial"/>
          <w:bCs/>
        </w:rPr>
        <w:t>k net overspend due to interim staffing arrangements</w:t>
      </w:r>
      <w:r w:rsidR="00F5330D" w:rsidRPr="001843E2">
        <w:rPr>
          <w:rFonts w:cs="Arial"/>
          <w:bCs/>
        </w:rPr>
        <w:t xml:space="preserve"> </w:t>
      </w:r>
    </w:p>
    <w:p w14:paraId="005D2C8A" w14:textId="73F8ACFF" w:rsidR="00A30DD9" w:rsidRPr="00BA08ED" w:rsidRDefault="00DC7010" w:rsidP="00A30DD9">
      <w:pPr>
        <w:pStyle w:val="ListParagraph"/>
        <w:numPr>
          <w:ilvl w:val="2"/>
          <w:numId w:val="4"/>
        </w:numPr>
        <w:ind w:left="1701"/>
        <w:jc w:val="both"/>
        <w:rPr>
          <w:rFonts w:cs="Arial"/>
          <w:bCs/>
        </w:rPr>
      </w:pPr>
      <w:r w:rsidRPr="00BA08ED">
        <w:rPr>
          <w:rFonts w:cs="Arial"/>
          <w:bCs/>
        </w:rPr>
        <w:t xml:space="preserve">Catering </w:t>
      </w:r>
      <w:r w:rsidR="00751C64" w:rsidRPr="00BA08ED">
        <w:rPr>
          <w:rFonts w:cs="Arial"/>
          <w:bCs/>
        </w:rPr>
        <w:t>Services</w:t>
      </w:r>
      <w:r w:rsidRPr="00BA08ED">
        <w:rPr>
          <w:rFonts w:cs="Arial"/>
          <w:bCs/>
        </w:rPr>
        <w:t xml:space="preserve"> - £</w:t>
      </w:r>
      <w:r w:rsidR="001843E2" w:rsidRPr="00BA08ED">
        <w:rPr>
          <w:rFonts w:cs="Arial"/>
          <w:bCs/>
        </w:rPr>
        <w:t>32</w:t>
      </w:r>
      <w:r w:rsidRPr="00BA08ED">
        <w:rPr>
          <w:rFonts w:cs="Arial"/>
          <w:bCs/>
        </w:rPr>
        <w:t xml:space="preserve">k net </w:t>
      </w:r>
      <w:r w:rsidR="00A30DD9" w:rsidRPr="00BA08ED">
        <w:rPr>
          <w:rFonts w:cs="Arial"/>
          <w:bCs/>
        </w:rPr>
        <w:t>overspend due to under achievement of income in the Adults catering service.</w:t>
      </w:r>
    </w:p>
    <w:p w14:paraId="2611A847" w14:textId="360A748F" w:rsidR="001843E2" w:rsidRPr="00BA08ED" w:rsidRDefault="001843E2" w:rsidP="00A30DD9">
      <w:pPr>
        <w:pStyle w:val="ListParagraph"/>
        <w:numPr>
          <w:ilvl w:val="2"/>
          <w:numId w:val="4"/>
        </w:numPr>
        <w:ind w:left="1701"/>
        <w:jc w:val="both"/>
        <w:rPr>
          <w:rFonts w:cs="Arial"/>
          <w:bCs/>
        </w:rPr>
      </w:pPr>
      <w:r w:rsidRPr="00BA08ED">
        <w:rPr>
          <w:rFonts w:cs="Arial"/>
          <w:bCs/>
        </w:rPr>
        <w:t>FM Schools SLA - £57k net overspend due to unachieve</w:t>
      </w:r>
      <w:r w:rsidR="007235F3">
        <w:rPr>
          <w:rFonts w:cs="Arial"/>
          <w:bCs/>
        </w:rPr>
        <w:t>d</w:t>
      </w:r>
      <w:r w:rsidRPr="00BA08ED">
        <w:rPr>
          <w:rFonts w:cs="Arial"/>
          <w:bCs/>
        </w:rPr>
        <w:t xml:space="preserve"> income</w:t>
      </w:r>
    </w:p>
    <w:p w14:paraId="504B46FC" w14:textId="77777777" w:rsidR="00A30DD9" w:rsidRPr="00BA08ED" w:rsidRDefault="00A30DD9" w:rsidP="00A30DD9">
      <w:pPr>
        <w:pStyle w:val="ListParagraph"/>
        <w:ind w:left="1701"/>
        <w:jc w:val="both"/>
        <w:rPr>
          <w:rFonts w:cs="Arial"/>
          <w:bCs/>
        </w:rPr>
      </w:pPr>
    </w:p>
    <w:p w14:paraId="00D56016" w14:textId="295C4D04" w:rsidR="00BE0099" w:rsidRPr="00BA08ED" w:rsidRDefault="00BE0099" w:rsidP="00A30DD9">
      <w:pPr>
        <w:pStyle w:val="ListParagraph"/>
        <w:numPr>
          <w:ilvl w:val="0"/>
          <w:numId w:val="27"/>
        </w:numPr>
        <w:ind w:left="1418" w:hanging="567"/>
        <w:jc w:val="both"/>
        <w:rPr>
          <w:rFonts w:cs="Arial"/>
          <w:bCs/>
        </w:rPr>
      </w:pPr>
      <w:r w:rsidRPr="00BA08ED">
        <w:rPr>
          <w:rFonts w:cs="Arial"/>
          <w:b/>
        </w:rPr>
        <w:t>Planning &amp; Development</w:t>
      </w:r>
      <w:r w:rsidRPr="00BA08ED">
        <w:rPr>
          <w:rFonts w:cs="Arial"/>
          <w:bCs/>
        </w:rPr>
        <w:t xml:space="preserve"> - £</w:t>
      </w:r>
      <w:r w:rsidR="00F5330D" w:rsidRPr="00BA08ED">
        <w:rPr>
          <w:rFonts w:cs="Arial"/>
          <w:bCs/>
        </w:rPr>
        <w:t>724</w:t>
      </w:r>
      <w:r w:rsidRPr="00BA08ED">
        <w:rPr>
          <w:rFonts w:cs="Arial"/>
          <w:bCs/>
        </w:rPr>
        <w:t xml:space="preserve">k net overspend due to under achievement of planning application fee income as the number of planning </w:t>
      </w:r>
      <w:r w:rsidR="00751C64" w:rsidRPr="00BA08ED">
        <w:rPr>
          <w:rFonts w:cs="Arial"/>
          <w:bCs/>
        </w:rPr>
        <w:t>applications</w:t>
      </w:r>
      <w:r w:rsidRPr="00BA08ED">
        <w:rPr>
          <w:rFonts w:cs="Arial"/>
          <w:bCs/>
        </w:rPr>
        <w:t xml:space="preserve"> </w:t>
      </w:r>
      <w:r w:rsidR="001843E2" w:rsidRPr="00BA08ED">
        <w:rPr>
          <w:rFonts w:cs="Arial"/>
          <w:bCs/>
        </w:rPr>
        <w:t>were</w:t>
      </w:r>
      <w:r w:rsidRPr="00BA08ED">
        <w:rPr>
          <w:rFonts w:cs="Arial"/>
          <w:bCs/>
        </w:rPr>
        <w:t xml:space="preserve"> lower than expected</w:t>
      </w:r>
      <w:r w:rsidR="00B41786" w:rsidRPr="00BA08ED">
        <w:rPr>
          <w:rFonts w:cs="Arial"/>
          <w:bCs/>
        </w:rPr>
        <w:t xml:space="preserve"> £</w:t>
      </w:r>
      <w:r w:rsidR="001843E2" w:rsidRPr="00BA08ED">
        <w:rPr>
          <w:rFonts w:cs="Arial"/>
          <w:bCs/>
        </w:rPr>
        <w:t>528</w:t>
      </w:r>
      <w:r w:rsidR="00B41786" w:rsidRPr="00BA08ED">
        <w:rPr>
          <w:rFonts w:cs="Arial"/>
          <w:bCs/>
        </w:rPr>
        <w:t xml:space="preserve">k, legal fees due to actions being taken in </w:t>
      </w:r>
      <w:r w:rsidR="00BA08ED" w:rsidRPr="00BA08ED">
        <w:rPr>
          <w:rFonts w:cs="Arial"/>
          <w:bCs/>
        </w:rPr>
        <w:t>several</w:t>
      </w:r>
      <w:r w:rsidR="00B41786" w:rsidRPr="00BA08ED">
        <w:rPr>
          <w:rFonts w:cs="Arial"/>
          <w:bCs/>
        </w:rPr>
        <w:t xml:space="preserve"> cases </w:t>
      </w:r>
      <w:r w:rsidR="00F5330D" w:rsidRPr="00BA08ED">
        <w:rPr>
          <w:rFonts w:cs="Arial"/>
          <w:bCs/>
        </w:rPr>
        <w:t>£</w:t>
      </w:r>
      <w:r w:rsidR="001843E2" w:rsidRPr="00BA08ED">
        <w:rPr>
          <w:rFonts w:cs="Arial"/>
          <w:bCs/>
        </w:rPr>
        <w:t>141</w:t>
      </w:r>
      <w:r w:rsidR="00B41786" w:rsidRPr="00BA08ED">
        <w:rPr>
          <w:rFonts w:cs="Arial"/>
          <w:bCs/>
        </w:rPr>
        <w:t xml:space="preserve">k, cost related to historical secondment arrangements £38k and </w:t>
      </w:r>
      <w:r w:rsidR="00BA08ED" w:rsidRPr="00BA08ED">
        <w:rPr>
          <w:rFonts w:cs="Arial"/>
          <w:bCs/>
        </w:rPr>
        <w:t>£12k on external consultancy</w:t>
      </w:r>
      <w:r w:rsidR="00F5330D" w:rsidRPr="00BA08ED">
        <w:rPr>
          <w:rFonts w:cs="Arial"/>
          <w:bCs/>
        </w:rPr>
        <w:t>. T</w:t>
      </w:r>
    </w:p>
    <w:p w14:paraId="2E5F1B6A" w14:textId="77777777" w:rsidR="00F5330D" w:rsidRPr="00BA08ED" w:rsidRDefault="00F5330D" w:rsidP="00F5330D">
      <w:pPr>
        <w:pStyle w:val="ListParagraph"/>
        <w:ind w:left="1418"/>
        <w:jc w:val="both"/>
        <w:rPr>
          <w:rFonts w:cs="Arial"/>
          <w:bCs/>
        </w:rPr>
      </w:pPr>
    </w:p>
    <w:p w14:paraId="2E9A77F9" w14:textId="0F8B8596" w:rsidR="00F5330D" w:rsidRPr="00BA08ED" w:rsidRDefault="00F5330D" w:rsidP="00A30DD9">
      <w:pPr>
        <w:pStyle w:val="ListParagraph"/>
        <w:numPr>
          <w:ilvl w:val="0"/>
          <w:numId w:val="27"/>
        </w:numPr>
        <w:ind w:left="1418" w:hanging="567"/>
        <w:jc w:val="both"/>
        <w:rPr>
          <w:rFonts w:cs="Arial"/>
          <w:bCs/>
        </w:rPr>
      </w:pPr>
      <w:r w:rsidRPr="00BA08ED">
        <w:rPr>
          <w:rFonts w:cs="Arial"/>
          <w:b/>
        </w:rPr>
        <w:t>Regeneration</w:t>
      </w:r>
      <w:r w:rsidRPr="00BA08ED">
        <w:rPr>
          <w:rFonts w:cs="Arial"/>
          <w:bCs/>
        </w:rPr>
        <w:t xml:space="preserve"> – </w:t>
      </w:r>
      <w:r w:rsidR="00BA08ED" w:rsidRPr="00BA08ED">
        <w:rPr>
          <w:rFonts w:cs="Arial"/>
          <w:bCs/>
        </w:rPr>
        <w:t>net cost</w:t>
      </w:r>
      <w:r w:rsidRPr="00BA08ED">
        <w:rPr>
          <w:rFonts w:cs="Arial"/>
          <w:bCs/>
        </w:rPr>
        <w:t xml:space="preserve"> £1.</w:t>
      </w:r>
      <w:r w:rsidR="00BA08ED" w:rsidRPr="00BA08ED">
        <w:rPr>
          <w:rFonts w:cs="Arial"/>
          <w:bCs/>
        </w:rPr>
        <w:t>041</w:t>
      </w:r>
      <w:r w:rsidRPr="00BA08ED">
        <w:rPr>
          <w:rFonts w:cs="Arial"/>
          <w:bCs/>
        </w:rPr>
        <w:t xml:space="preserve">m mainly on staff costs and additional consultancy advice. </w:t>
      </w:r>
    </w:p>
    <w:p w14:paraId="20414352" w14:textId="77777777" w:rsidR="00BA08ED" w:rsidRPr="00BA08ED" w:rsidRDefault="00BA08ED" w:rsidP="00BA08ED">
      <w:pPr>
        <w:pStyle w:val="ListParagraph"/>
        <w:rPr>
          <w:rFonts w:cs="Arial"/>
          <w:bCs/>
        </w:rPr>
      </w:pPr>
    </w:p>
    <w:p w14:paraId="76907E11" w14:textId="5EBC83AB" w:rsidR="00BA08ED" w:rsidRPr="000B793E" w:rsidRDefault="00BA08ED" w:rsidP="00A30DD9">
      <w:pPr>
        <w:pStyle w:val="ListParagraph"/>
        <w:numPr>
          <w:ilvl w:val="0"/>
          <w:numId w:val="27"/>
        </w:numPr>
        <w:ind w:left="1418" w:hanging="567"/>
        <w:jc w:val="both"/>
        <w:rPr>
          <w:rFonts w:cs="Arial"/>
          <w:bCs/>
        </w:rPr>
      </w:pPr>
      <w:r w:rsidRPr="000B793E">
        <w:rPr>
          <w:rFonts w:cs="Arial"/>
          <w:b/>
        </w:rPr>
        <w:t>Business Rates</w:t>
      </w:r>
      <w:r w:rsidRPr="000B793E">
        <w:rPr>
          <w:rFonts w:cs="Arial"/>
          <w:bCs/>
        </w:rPr>
        <w:t xml:space="preserve"> - £389k net underspend du</w:t>
      </w:r>
      <w:r w:rsidR="009C0E07" w:rsidRPr="000B793E">
        <w:rPr>
          <w:rFonts w:cs="Arial"/>
          <w:bCs/>
        </w:rPr>
        <w:t>e</w:t>
      </w:r>
      <w:r w:rsidRPr="000B793E">
        <w:rPr>
          <w:rFonts w:cs="Arial"/>
          <w:bCs/>
        </w:rPr>
        <w:t xml:space="preserve"> to refund for Civic Centre.</w:t>
      </w:r>
    </w:p>
    <w:p w14:paraId="3906679C" w14:textId="77777777" w:rsidR="00BE0099" w:rsidRPr="000B793E" w:rsidRDefault="00BE0099" w:rsidP="00BE0099">
      <w:pPr>
        <w:pStyle w:val="ListParagraph"/>
        <w:ind w:left="567"/>
        <w:jc w:val="both"/>
        <w:rPr>
          <w:rFonts w:cs="Arial"/>
          <w:bCs/>
        </w:rPr>
      </w:pPr>
    </w:p>
    <w:p w14:paraId="5C946259" w14:textId="1D4EEF51" w:rsidR="00BE0099" w:rsidRPr="000B793E" w:rsidRDefault="00BE0099" w:rsidP="00AF06B3">
      <w:pPr>
        <w:pStyle w:val="ListParagraph"/>
        <w:numPr>
          <w:ilvl w:val="0"/>
          <w:numId w:val="4"/>
        </w:numPr>
        <w:ind w:left="567" w:hanging="567"/>
        <w:jc w:val="both"/>
        <w:rPr>
          <w:rFonts w:cs="Arial"/>
          <w:bCs/>
        </w:rPr>
      </w:pPr>
      <w:r w:rsidRPr="000B793E">
        <w:rPr>
          <w:rFonts w:cs="Arial"/>
          <w:b/>
        </w:rPr>
        <w:t>Housing General Fund</w:t>
      </w:r>
      <w:r w:rsidRPr="000B793E">
        <w:rPr>
          <w:rFonts w:cs="Arial"/>
          <w:bCs/>
        </w:rPr>
        <w:t xml:space="preserve"> – t</w:t>
      </w:r>
      <w:r w:rsidRPr="000B793E">
        <w:rPr>
          <w:rFonts w:cstheme="minorHAnsi"/>
          <w:lang w:val="en-US"/>
        </w:rPr>
        <w:t xml:space="preserve">he </w:t>
      </w:r>
      <w:r w:rsidR="00BA08ED" w:rsidRPr="000B793E">
        <w:rPr>
          <w:rFonts w:cstheme="minorHAnsi"/>
          <w:lang w:val="en-US"/>
        </w:rPr>
        <w:t xml:space="preserve">outturn is a balance position after drawn down from the Homelessness Prevention Grant (HPG0) of £392k, contribution to the PAP sinking fund £3195k, </w:t>
      </w:r>
      <w:r w:rsidR="00B41786" w:rsidRPr="000B793E">
        <w:rPr>
          <w:rFonts w:cstheme="minorHAnsi"/>
          <w:lang w:val="en-US"/>
        </w:rPr>
        <w:t xml:space="preserve">fully utilizing </w:t>
      </w:r>
      <w:r w:rsidRPr="000B793E">
        <w:rPr>
          <w:rFonts w:cstheme="minorHAnsi"/>
          <w:lang w:val="en-US"/>
        </w:rPr>
        <w:t xml:space="preserve">the </w:t>
      </w:r>
      <w:r w:rsidR="00BA08ED" w:rsidRPr="000B793E">
        <w:rPr>
          <w:rFonts w:cstheme="minorHAnsi"/>
          <w:lang w:val="en-US"/>
        </w:rPr>
        <w:t xml:space="preserve">2022-23 </w:t>
      </w:r>
      <w:r w:rsidRPr="000B793E">
        <w:rPr>
          <w:rFonts w:cstheme="minorHAnsi"/>
          <w:lang w:val="en-US"/>
        </w:rPr>
        <w:t xml:space="preserve">Homelessness Prevention Grant (HPG) </w:t>
      </w:r>
      <w:r w:rsidR="00B41786" w:rsidRPr="000B793E">
        <w:rPr>
          <w:rFonts w:cstheme="minorHAnsi"/>
          <w:lang w:val="en-US"/>
        </w:rPr>
        <w:t>of £2.246m and a cross divisional adjustment of £26</w:t>
      </w:r>
      <w:r w:rsidR="00BA08ED" w:rsidRPr="000B793E">
        <w:rPr>
          <w:rFonts w:cstheme="minorHAnsi"/>
          <w:lang w:val="en-US"/>
        </w:rPr>
        <w:t>9</w:t>
      </w:r>
      <w:r w:rsidR="00B41786" w:rsidRPr="000B793E">
        <w:rPr>
          <w:rFonts w:cstheme="minorHAnsi"/>
          <w:lang w:val="en-US"/>
        </w:rPr>
        <w:t>k. This leaves a balance on the HPG of £</w:t>
      </w:r>
      <w:r w:rsidR="00F5330D" w:rsidRPr="000B793E">
        <w:rPr>
          <w:rFonts w:cstheme="minorHAnsi"/>
          <w:lang w:val="en-US"/>
        </w:rPr>
        <w:t>4.</w:t>
      </w:r>
      <w:r w:rsidR="00BA08ED" w:rsidRPr="000B793E">
        <w:rPr>
          <w:rFonts w:cstheme="minorHAnsi"/>
          <w:lang w:val="en-US"/>
        </w:rPr>
        <w:t>321</w:t>
      </w:r>
      <w:r w:rsidR="00F5330D" w:rsidRPr="000B793E">
        <w:rPr>
          <w:rFonts w:cstheme="minorHAnsi"/>
          <w:lang w:val="en-US"/>
        </w:rPr>
        <w:t>m</w:t>
      </w:r>
      <w:r w:rsidR="00B41786" w:rsidRPr="000B793E">
        <w:rPr>
          <w:rFonts w:cstheme="minorHAnsi"/>
          <w:lang w:val="en-US"/>
        </w:rPr>
        <w:t xml:space="preserve">. </w:t>
      </w:r>
    </w:p>
    <w:p w14:paraId="337B7978" w14:textId="02E87344" w:rsidR="00BE0099" w:rsidRPr="000B793E" w:rsidRDefault="00BE0099" w:rsidP="00BE0099">
      <w:pPr>
        <w:jc w:val="both"/>
        <w:rPr>
          <w:rFonts w:cs="Arial"/>
          <w:bCs/>
        </w:rPr>
      </w:pPr>
      <w:bookmarkStart w:id="4" w:name="_Hlk139275776"/>
    </w:p>
    <w:p w14:paraId="08EB294E" w14:textId="78004687" w:rsidR="00957EA1" w:rsidRPr="000B793E" w:rsidRDefault="004052E3" w:rsidP="00957EA1">
      <w:pPr>
        <w:ind w:firstLine="460"/>
        <w:jc w:val="both"/>
        <w:rPr>
          <w:rFonts w:cs="Arial"/>
          <w:b/>
          <w:bCs/>
          <w:szCs w:val="24"/>
        </w:rPr>
      </w:pPr>
      <w:r w:rsidRPr="000B793E">
        <w:rPr>
          <w:rFonts w:cs="Arial"/>
          <w:b/>
          <w:bCs/>
          <w:szCs w:val="24"/>
        </w:rPr>
        <w:t>Housing Revenue Account</w:t>
      </w:r>
      <w:r w:rsidR="00957EA1" w:rsidRPr="000B793E">
        <w:rPr>
          <w:rFonts w:cs="Arial"/>
          <w:b/>
          <w:bCs/>
          <w:szCs w:val="24"/>
        </w:rPr>
        <w:t xml:space="preserve"> (HRA)</w:t>
      </w:r>
    </w:p>
    <w:p w14:paraId="409C4DD5" w14:textId="77777777" w:rsidR="00957EA1" w:rsidRPr="000B793E" w:rsidRDefault="00957EA1" w:rsidP="00957EA1">
      <w:pPr>
        <w:pStyle w:val="ListParagraph"/>
        <w:rPr>
          <w:rFonts w:cs="Arial"/>
          <w:bCs/>
          <w:szCs w:val="24"/>
        </w:rPr>
      </w:pPr>
    </w:p>
    <w:p w14:paraId="4762BC92" w14:textId="10794C1C" w:rsidR="00957EA1" w:rsidRPr="000B793E" w:rsidRDefault="009311EA" w:rsidP="00957EA1">
      <w:pPr>
        <w:pStyle w:val="ListParagraph"/>
        <w:numPr>
          <w:ilvl w:val="0"/>
          <w:numId w:val="4"/>
        </w:numPr>
        <w:ind w:left="460" w:hanging="567"/>
        <w:jc w:val="both"/>
      </w:pPr>
      <w:r w:rsidRPr="000B793E">
        <w:rPr>
          <w:rFonts w:cs="Arial"/>
          <w:bCs/>
          <w:szCs w:val="24"/>
        </w:rPr>
        <w:t>The draft 2022-23 outturn for the HRA is a deficit of £1.2</w:t>
      </w:r>
      <w:r w:rsidR="00C064CA" w:rsidRPr="000B793E">
        <w:rPr>
          <w:rFonts w:cs="Arial"/>
          <w:bCs/>
          <w:szCs w:val="24"/>
        </w:rPr>
        <w:t>50</w:t>
      </w:r>
      <w:r w:rsidRPr="000B793E">
        <w:rPr>
          <w:rFonts w:cs="Arial"/>
          <w:bCs/>
          <w:szCs w:val="24"/>
        </w:rPr>
        <w:t>m which is an increase of £1.0</w:t>
      </w:r>
      <w:r w:rsidR="00C064CA" w:rsidRPr="000B793E">
        <w:rPr>
          <w:rFonts w:cs="Arial"/>
          <w:bCs/>
          <w:szCs w:val="24"/>
        </w:rPr>
        <w:t>09</w:t>
      </w:r>
      <w:r w:rsidRPr="000B793E">
        <w:rPr>
          <w:rFonts w:cs="Arial"/>
          <w:bCs/>
          <w:szCs w:val="24"/>
        </w:rPr>
        <w:t>m compared with the original budgeted loss of £241k</w:t>
      </w:r>
      <w:r w:rsidR="00C064CA" w:rsidRPr="000B793E">
        <w:rPr>
          <w:rFonts w:cs="Arial"/>
          <w:bCs/>
          <w:szCs w:val="24"/>
        </w:rPr>
        <w:t>. This is due to the following reasons:</w:t>
      </w:r>
    </w:p>
    <w:p w14:paraId="18698CAA" w14:textId="77777777" w:rsidR="000B793E" w:rsidRPr="000B793E" w:rsidRDefault="000B793E" w:rsidP="000B793E">
      <w:pPr>
        <w:pStyle w:val="ListParagraph"/>
        <w:ind w:left="460"/>
        <w:jc w:val="both"/>
      </w:pPr>
    </w:p>
    <w:p w14:paraId="0F03F25F" w14:textId="2B47BB53" w:rsidR="00C064CA" w:rsidRPr="000B793E" w:rsidRDefault="00C064CA" w:rsidP="000B793E">
      <w:pPr>
        <w:pStyle w:val="ListParagraph"/>
        <w:numPr>
          <w:ilvl w:val="1"/>
          <w:numId w:val="4"/>
        </w:numPr>
        <w:ind w:left="1418" w:hanging="567"/>
        <w:jc w:val="both"/>
      </w:pPr>
      <w:r w:rsidRPr="000B793E">
        <w:rPr>
          <w:rFonts w:cs="Arial"/>
          <w:bCs/>
          <w:szCs w:val="24"/>
        </w:rPr>
        <w:t>Repairs &amp; maintenance £890k overspend due to continued demand</w:t>
      </w:r>
    </w:p>
    <w:p w14:paraId="79EA3564" w14:textId="51D467B3" w:rsidR="00C064CA" w:rsidRPr="000B793E" w:rsidRDefault="00C064CA" w:rsidP="000B793E">
      <w:pPr>
        <w:pStyle w:val="ListParagraph"/>
        <w:numPr>
          <w:ilvl w:val="1"/>
          <w:numId w:val="4"/>
        </w:numPr>
        <w:ind w:left="1418" w:hanging="567"/>
        <w:jc w:val="both"/>
      </w:pPr>
      <w:r w:rsidRPr="000B793E">
        <w:rPr>
          <w:rFonts w:cs="Arial"/>
          <w:bCs/>
          <w:szCs w:val="24"/>
        </w:rPr>
        <w:t>Utility costs £605k overspend due to volatility of gas and electric prices in 2022-23</w:t>
      </w:r>
    </w:p>
    <w:p w14:paraId="5C9B176A" w14:textId="37F85704" w:rsidR="00C064CA" w:rsidRPr="000B793E" w:rsidRDefault="00C064CA" w:rsidP="000B793E">
      <w:pPr>
        <w:pStyle w:val="ListParagraph"/>
        <w:numPr>
          <w:ilvl w:val="1"/>
          <w:numId w:val="4"/>
        </w:numPr>
        <w:ind w:left="1418" w:hanging="567"/>
        <w:jc w:val="both"/>
      </w:pPr>
      <w:r w:rsidRPr="000B793E">
        <w:rPr>
          <w:rFonts w:cs="Arial"/>
          <w:bCs/>
          <w:szCs w:val="24"/>
        </w:rPr>
        <w:t>Various other overspend £102k.</w:t>
      </w:r>
    </w:p>
    <w:bookmarkEnd w:id="4"/>
    <w:p w14:paraId="78DD0FC8" w14:textId="77777777" w:rsidR="00C064CA" w:rsidRPr="000B793E" w:rsidRDefault="00C064CA" w:rsidP="00C064CA">
      <w:pPr>
        <w:pStyle w:val="ListParagraph"/>
        <w:ind w:left="426"/>
        <w:rPr>
          <w:rFonts w:cs="Arial"/>
          <w:bCs/>
          <w:szCs w:val="24"/>
          <w:highlight w:val="yellow"/>
        </w:rPr>
      </w:pPr>
    </w:p>
    <w:p w14:paraId="31E8FEDD" w14:textId="305D0593" w:rsidR="00957EA1" w:rsidRPr="000B793E" w:rsidRDefault="00C064CA" w:rsidP="00C064CA">
      <w:pPr>
        <w:pStyle w:val="ListParagraph"/>
        <w:numPr>
          <w:ilvl w:val="0"/>
          <w:numId w:val="4"/>
        </w:numPr>
        <w:ind w:left="426" w:hanging="568"/>
        <w:jc w:val="both"/>
      </w:pPr>
      <w:r w:rsidRPr="000B793E">
        <w:rPr>
          <w:rFonts w:cs="Arial"/>
          <w:bCs/>
          <w:szCs w:val="24"/>
        </w:rPr>
        <w:t>This is partially mitigated by the following reasons:</w:t>
      </w:r>
    </w:p>
    <w:p w14:paraId="7BABADF8" w14:textId="38D9B4BF" w:rsidR="00C064CA" w:rsidRPr="000B793E" w:rsidRDefault="00C064CA" w:rsidP="000B793E">
      <w:pPr>
        <w:pStyle w:val="ListParagraph"/>
        <w:numPr>
          <w:ilvl w:val="1"/>
          <w:numId w:val="4"/>
        </w:numPr>
        <w:ind w:left="1418" w:hanging="567"/>
        <w:jc w:val="both"/>
      </w:pPr>
      <w:r w:rsidRPr="000B793E">
        <w:rPr>
          <w:rFonts w:cs="Arial"/>
          <w:bCs/>
          <w:szCs w:val="24"/>
        </w:rPr>
        <w:t>Capital charges £176k underspend due to reduced borrowing requirement</w:t>
      </w:r>
    </w:p>
    <w:p w14:paraId="6626149D" w14:textId="258B848E" w:rsidR="00C064CA" w:rsidRPr="000B793E" w:rsidRDefault="0035313B" w:rsidP="000B793E">
      <w:pPr>
        <w:pStyle w:val="ListParagraph"/>
        <w:numPr>
          <w:ilvl w:val="1"/>
          <w:numId w:val="4"/>
        </w:numPr>
        <w:ind w:left="1418" w:hanging="567"/>
        <w:jc w:val="both"/>
      </w:pPr>
      <w:r w:rsidRPr="000B793E">
        <w:t xml:space="preserve">Additional income £281k </w:t>
      </w:r>
      <w:r w:rsidR="000B793E" w:rsidRPr="000B793E">
        <w:t>due to higher return on balances held</w:t>
      </w:r>
    </w:p>
    <w:p w14:paraId="7468F31B" w14:textId="582F8320" w:rsidR="000B793E" w:rsidRPr="000B793E" w:rsidRDefault="000B793E" w:rsidP="000B793E">
      <w:pPr>
        <w:pStyle w:val="ListParagraph"/>
        <w:numPr>
          <w:ilvl w:val="1"/>
          <w:numId w:val="4"/>
        </w:numPr>
        <w:ind w:left="1418" w:hanging="567"/>
        <w:jc w:val="both"/>
      </w:pPr>
      <w:r w:rsidRPr="000B793E">
        <w:t>Depreciation £131k underspend due to minor changes to Beacon Values</w:t>
      </w:r>
    </w:p>
    <w:p w14:paraId="0DF3E018" w14:textId="131F9BEE" w:rsidR="009A2DF9" w:rsidRDefault="009A2DF9" w:rsidP="009A2DF9">
      <w:pPr>
        <w:jc w:val="both"/>
        <w:rPr>
          <w:color w:val="FF0000"/>
        </w:rPr>
      </w:pPr>
    </w:p>
    <w:p w14:paraId="763E6DF8" w14:textId="16019F2C" w:rsidR="00F6344A" w:rsidRPr="00BA08ED" w:rsidRDefault="00F6344A" w:rsidP="009C5D61">
      <w:pPr>
        <w:ind w:right="-1" w:firstLine="460"/>
        <w:rPr>
          <w:rFonts w:cs="Arial"/>
          <w:b/>
          <w:u w:val="single"/>
        </w:rPr>
      </w:pPr>
      <w:r w:rsidRPr="00BA08ED">
        <w:rPr>
          <w:rFonts w:cs="Arial"/>
          <w:b/>
          <w:u w:val="single"/>
        </w:rPr>
        <w:lastRenderedPageBreak/>
        <w:t>PEOPLE SERVICES</w:t>
      </w:r>
    </w:p>
    <w:p w14:paraId="52C5EB08" w14:textId="77777777" w:rsidR="001619BF" w:rsidRPr="00BA08ED" w:rsidRDefault="001619BF" w:rsidP="000C14C0">
      <w:pPr>
        <w:rPr>
          <w:b/>
          <w:bCs/>
          <w:szCs w:val="24"/>
          <w:u w:val="single"/>
        </w:rPr>
      </w:pPr>
    </w:p>
    <w:p w14:paraId="022EEAB0" w14:textId="6BB3908A" w:rsidR="00F6344A" w:rsidRDefault="006A200B" w:rsidP="000C14C0">
      <w:pPr>
        <w:rPr>
          <w:b/>
          <w:bCs/>
          <w:szCs w:val="24"/>
          <w:u w:val="single"/>
        </w:rPr>
      </w:pPr>
      <w:r w:rsidRPr="00BA08ED">
        <w:rPr>
          <w:b/>
          <w:bCs/>
          <w:szCs w:val="24"/>
          <w:u w:val="single"/>
        </w:rPr>
        <w:t xml:space="preserve">Table </w:t>
      </w:r>
      <w:r w:rsidR="00B41786" w:rsidRPr="00BA08ED">
        <w:rPr>
          <w:b/>
          <w:bCs/>
          <w:szCs w:val="24"/>
          <w:u w:val="single"/>
        </w:rPr>
        <w:t>8</w:t>
      </w:r>
      <w:r w:rsidRPr="00BA08ED">
        <w:rPr>
          <w:b/>
          <w:bCs/>
          <w:szCs w:val="24"/>
          <w:u w:val="single"/>
        </w:rPr>
        <w:t xml:space="preserve">: </w:t>
      </w:r>
      <w:r w:rsidR="00F6344A" w:rsidRPr="00BA08ED">
        <w:rPr>
          <w:b/>
          <w:bCs/>
          <w:szCs w:val="24"/>
          <w:u w:val="single"/>
        </w:rPr>
        <w:t xml:space="preserve">People Services </w:t>
      </w:r>
      <w:r w:rsidR="003065D6" w:rsidRPr="00BA08ED">
        <w:rPr>
          <w:b/>
          <w:bCs/>
          <w:szCs w:val="24"/>
          <w:u w:val="single"/>
        </w:rPr>
        <w:t>Outturn</w:t>
      </w:r>
      <w:r w:rsidR="00234E3A" w:rsidRPr="00BA08ED">
        <w:rPr>
          <w:b/>
          <w:bCs/>
          <w:szCs w:val="24"/>
          <w:u w:val="single"/>
        </w:rPr>
        <w:t xml:space="preserve"> 2022-23</w:t>
      </w:r>
    </w:p>
    <w:p w14:paraId="62BCE156" w14:textId="031D8CF8" w:rsidR="00072702" w:rsidRDefault="00072702" w:rsidP="000C14C0">
      <w:pPr>
        <w:rPr>
          <w:b/>
          <w:bCs/>
          <w:szCs w:val="24"/>
          <w:u w:val="single"/>
        </w:rPr>
      </w:pPr>
    </w:p>
    <w:tbl>
      <w:tblPr>
        <w:tblW w:w="10774" w:type="dxa"/>
        <w:tblInd w:w="-861" w:type="dxa"/>
        <w:tblLook w:val="04A0" w:firstRow="1" w:lastRow="0" w:firstColumn="1" w:lastColumn="0" w:noHBand="0" w:noVBand="1"/>
      </w:tblPr>
      <w:tblGrid>
        <w:gridCol w:w="1464"/>
        <w:gridCol w:w="3065"/>
        <w:gridCol w:w="1055"/>
        <w:gridCol w:w="950"/>
        <w:gridCol w:w="1106"/>
        <w:gridCol w:w="998"/>
        <w:gridCol w:w="1050"/>
        <w:gridCol w:w="1086"/>
      </w:tblGrid>
      <w:tr w:rsidR="00072702" w:rsidRPr="00072702" w14:paraId="60744D9E" w14:textId="77777777" w:rsidTr="00072702">
        <w:trPr>
          <w:trHeight w:val="993"/>
        </w:trPr>
        <w:tc>
          <w:tcPr>
            <w:tcW w:w="14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7DA9C5"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Division</w:t>
            </w:r>
          </w:p>
        </w:tc>
        <w:tc>
          <w:tcPr>
            <w:tcW w:w="3065" w:type="dxa"/>
            <w:tcBorders>
              <w:top w:val="single" w:sz="8" w:space="0" w:color="auto"/>
              <w:left w:val="nil"/>
              <w:bottom w:val="single" w:sz="8" w:space="0" w:color="auto"/>
              <w:right w:val="single" w:sz="8" w:space="0" w:color="auto"/>
            </w:tcBorders>
            <w:shd w:val="clear" w:color="auto" w:fill="auto"/>
            <w:vAlign w:val="center"/>
            <w:hideMark/>
          </w:tcPr>
          <w:p w14:paraId="06E6A491"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Service Area</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14:paraId="5943F26A"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Revised Budget</w:t>
            </w:r>
          </w:p>
        </w:tc>
        <w:tc>
          <w:tcPr>
            <w:tcW w:w="950" w:type="dxa"/>
            <w:tcBorders>
              <w:top w:val="single" w:sz="8" w:space="0" w:color="auto"/>
              <w:left w:val="nil"/>
              <w:bottom w:val="single" w:sz="8" w:space="0" w:color="auto"/>
              <w:right w:val="single" w:sz="8" w:space="0" w:color="auto"/>
            </w:tcBorders>
            <w:shd w:val="clear" w:color="auto" w:fill="auto"/>
            <w:vAlign w:val="center"/>
            <w:hideMark/>
          </w:tcPr>
          <w:p w14:paraId="1EB7BF00"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Outturn</w:t>
            </w: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0A272B76"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To/ (From) Reserves</w:t>
            </w:r>
          </w:p>
        </w:tc>
        <w:tc>
          <w:tcPr>
            <w:tcW w:w="998" w:type="dxa"/>
            <w:tcBorders>
              <w:top w:val="single" w:sz="8" w:space="0" w:color="auto"/>
              <w:left w:val="nil"/>
              <w:bottom w:val="single" w:sz="8" w:space="0" w:color="auto"/>
              <w:right w:val="single" w:sz="8" w:space="0" w:color="auto"/>
            </w:tcBorders>
            <w:shd w:val="clear" w:color="auto" w:fill="auto"/>
            <w:vAlign w:val="center"/>
            <w:hideMark/>
          </w:tcPr>
          <w:p w14:paraId="1BBAF3C9" w14:textId="51597FAC" w:rsidR="00072702" w:rsidRPr="00072702" w:rsidRDefault="00072702" w:rsidP="00072702">
            <w:pPr>
              <w:jc w:val="center"/>
              <w:rPr>
                <w:rFonts w:cs="Arial"/>
                <w:b/>
                <w:bCs/>
                <w:color w:val="000000"/>
                <w:sz w:val="20"/>
                <w:lang w:eastAsia="en-GB"/>
              </w:rPr>
            </w:pPr>
            <w:r>
              <w:rPr>
                <w:rFonts w:cs="Arial"/>
                <w:b/>
                <w:bCs/>
                <w:color w:val="000000"/>
                <w:sz w:val="20"/>
                <w:lang w:eastAsia="en-GB"/>
              </w:rPr>
              <w:t xml:space="preserve">Cross div </w:t>
            </w:r>
            <w:proofErr w:type="spellStart"/>
            <w:r>
              <w:rPr>
                <w:rFonts w:cs="Arial"/>
                <w:b/>
                <w:bCs/>
                <w:color w:val="000000"/>
                <w:sz w:val="20"/>
                <w:lang w:eastAsia="en-GB"/>
              </w:rPr>
              <w:t>adjmt</w:t>
            </w:r>
            <w:proofErr w:type="spellEnd"/>
          </w:p>
        </w:tc>
        <w:tc>
          <w:tcPr>
            <w:tcW w:w="1050" w:type="dxa"/>
            <w:tcBorders>
              <w:top w:val="single" w:sz="8" w:space="0" w:color="auto"/>
              <w:left w:val="nil"/>
              <w:bottom w:val="single" w:sz="8" w:space="0" w:color="auto"/>
              <w:right w:val="single" w:sz="8" w:space="0" w:color="auto"/>
            </w:tcBorders>
            <w:shd w:val="clear" w:color="auto" w:fill="auto"/>
            <w:vAlign w:val="center"/>
            <w:hideMark/>
          </w:tcPr>
          <w:p w14:paraId="6E27160C"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Revised Forecast</w:t>
            </w:r>
          </w:p>
        </w:tc>
        <w:tc>
          <w:tcPr>
            <w:tcW w:w="1086" w:type="dxa"/>
            <w:tcBorders>
              <w:top w:val="single" w:sz="8" w:space="0" w:color="auto"/>
              <w:left w:val="nil"/>
              <w:bottom w:val="single" w:sz="8" w:space="0" w:color="auto"/>
              <w:right w:val="single" w:sz="8" w:space="0" w:color="auto"/>
            </w:tcBorders>
            <w:shd w:val="clear" w:color="auto" w:fill="auto"/>
            <w:vAlign w:val="center"/>
            <w:hideMark/>
          </w:tcPr>
          <w:p w14:paraId="6C85B4C1"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Variance to budget</w:t>
            </w:r>
          </w:p>
        </w:tc>
      </w:tr>
      <w:tr w:rsidR="00072702" w:rsidRPr="00072702" w14:paraId="65AF0BD0" w14:textId="77777777" w:rsidTr="00072702">
        <w:trPr>
          <w:trHeight w:val="287"/>
        </w:trPr>
        <w:tc>
          <w:tcPr>
            <w:tcW w:w="1464" w:type="dxa"/>
            <w:tcBorders>
              <w:top w:val="nil"/>
              <w:left w:val="single" w:sz="8" w:space="0" w:color="auto"/>
              <w:bottom w:val="single" w:sz="8" w:space="0" w:color="auto"/>
              <w:right w:val="single" w:sz="8" w:space="0" w:color="auto"/>
            </w:tcBorders>
            <w:shd w:val="clear" w:color="auto" w:fill="auto"/>
            <w:vAlign w:val="center"/>
            <w:hideMark/>
          </w:tcPr>
          <w:p w14:paraId="68D289D3" w14:textId="77777777" w:rsidR="00072702" w:rsidRPr="00072702" w:rsidRDefault="00072702" w:rsidP="00072702">
            <w:pPr>
              <w:jc w:val="center"/>
              <w:rPr>
                <w:rFonts w:cs="Arial"/>
                <w:color w:val="000000"/>
                <w:sz w:val="20"/>
                <w:lang w:eastAsia="en-GB"/>
              </w:rPr>
            </w:pPr>
            <w:r w:rsidRPr="00072702">
              <w:rPr>
                <w:rFonts w:cs="Arial"/>
                <w:color w:val="000000"/>
                <w:sz w:val="20"/>
                <w:lang w:eastAsia="en-GB"/>
              </w:rPr>
              <w:t> </w:t>
            </w:r>
          </w:p>
        </w:tc>
        <w:tc>
          <w:tcPr>
            <w:tcW w:w="3065" w:type="dxa"/>
            <w:tcBorders>
              <w:top w:val="nil"/>
              <w:left w:val="nil"/>
              <w:bottom w:val="single" w:sz="8" w:space="0" w:color="auto"/>
              <w:right w:val="single" w:sz="8" w:space="0" w:color="auto"/>
            </w:tcBorders>
            <w:shd w:val="clear" w:color="auto" w:fill="auto"/>
            <w:vAlign w:val="center"/>
            <w:hideMark/>
          </w:tcPr>
          <w:p w14:paraId="6FFE6547" w14:textId="77777777" w:rsidR="00072702" w:rsidRPr="00072702" w:rsidRDefault="00072702" w:rsidP="00072702">
            <w:pPr>
              <w:jc w:val="center"/>
              <w:rPr>
                <w:rFonts w:cs="Arial"/>
                <w:color w:val="000000"/>
                <w:sz w:val="20"/>
                <w:lang w:eastAsia="en-GB"/>
              </w:rPr>
            </w:pPr>
            <w:r w:rsidRPr="00072702">
              <w:rPr>
                <w:rFonts w:cs="Arial"/>
                <w:color w:val="000000"/>
                <w:sz w:val="20"/>
                <w:lang w:eastAsia="en-GB"/>
              </w:rPr>
              <w:t> </w:t>
            </w:r>
          </w:p>
        </w:tc>
        <w:tc>
          <w:tcPr>
            <w:tcW w:w="1055" w:type="dxa"/>
            <w:tcBorders>
              <w:top w:val="nil"/>
              <w:left w:val="nil"/>
              <w:bottom w:val="single" w:sz="8" w:space="0" w:color="auto"/>
              <w:right w:val="single" w:sz="8" w:space="0" w:color="auto"/>
            </w:tcBorders>
            <w:shd w:val="clear" w:color="auto" w:fill="auto"/>
            <w:vAlign w:val="center"/>
            <w:hideMark/>
          </w:tcPr>
          <w:p w14:paraId="0D8037C7"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£’000</w:t>
            </w:r>
          </w:p>
        </w:tc>
        <w:tc>
          <w:tcPr>
            <w:tcW w:w="950" w:type="dxa"/>
            <w:tcBorders>
              <w:top w:val="nil"/>
              <w:left w:val="nil"/>
              <w:bottom w:val="single" w:sz="8" w:space="0" w:color="auto"/>
              <w:right w:val="single" w:sz="8" w:space="0" w:color="auto"/>
            </w:tcBorders>
            <w:shd w:val="clear" w:color="auto" w:fill="auto"/>
            <w:vAlign w:val="center"/>
            <w:hideMark/>
          </w:tcPr>
          <w:p w14:paraId="0AE87ED3"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£’000</w:t>
            </w:r>
          </w:p>
        </w:tc>
        <w:tc>
          <w:tcPr>
            <w:tcW w:w="1106" w:type="dxa"/>
            <w:tcBorders>
              <w:top w:val="nil"/>
              <w:left w:val="nil"/>
              <w:bottom w:val="single" w:sz="8" w:space="0" w:color="auto"/>
              <w:right w:val="single" w:sz="8" w:space="0" w:color="auto"/>
            </w:tcBorders>
            <w:shd w:val="clear" w:color="auto" w:fill="auto"/>
            <w:vAlign w:val="center"/>
            <w:hideMark/>
          </w:tcPr>
          <w:p w14:paraId="14561A9B"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£’000</w:t>
            </w:r>
          </w:p>
        </w:tc>
        <w:tc>
          <w:tcPr>
            <w:tcW w:w="998" w:type="dxa"/>
            <w:tcBorders>
              <w:top w:val="nil"/>
              <w:left w:val="nil"/>
              <w:bottom w:val="single" w:sz="8" w:space="0" w:color="auto"/>
              <w:right w:val="single" w:sz="8" w:space="0" w:color="auto"/>
            </w:tcBorders>
            <w:shd w:val="clear" w:color="auto" w:fill="auto"/>
            <w:vAlign w:val="center"/>
            <w:hideMark/>
          </w:tcPr>
          <w:p w14:paraId="46475764"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£’000</w:t>
            </w:r>
          </w:p>
        </w:tc>
        <w:tc>
          <w:tcPr>
            <w:tcW w:w="1050" w:type="dxa"/>
            <w:tcBorders>
              <w:top w:val="nil"/>
              <w:left w:val="nil"/>
              <w:bottom w:val="single" w:sz="8" w:space="0" w:color="auto"/>
              <w:right w:val="single" w:sz="8" w:space="0" w:color="auto"/>
            </w:tcBorders>
            <w:shd w:val="clear" w:color="auto" w:fill="auto"/>
            <w:vAlign w:val="center"/>
            <w:hideMark/>
          </w:tcPr>
          <w:p w14:paraId="39F0822D"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£’000</w:t>
            </w:r>
          </w:p>
        </w:tc>
        <w:tc>
          <w:tcPr>
            <w:tcW w:w="1086" w:type="dxa"/>
            <w:tcBorders>
              <w:top w:val="nil"/>
              <w:left w:val="nil"/>
              <w:bottom w:val="single" w:sz="8" w:space="0" w:color="auto"/>
              <w:right w:val="single" w:sz="8" w:space="0" w:color="auto"/>
            </w:tcBorders>
            <w:shd w:val="clear" w:color="auto" w:fill="auto"/>
            <w:vAlign w:val="center"/>
            <w:hideMark/>
          </w:tcPr>
          <w:p w14:paraId="5ABED2EF" w14:textId="77777777" w:rsidR="00072702" w:rsidRPr="00072702" w:rsidRDefault="00072702" w:rsidP="00072702">
            <w:pPr>
              <w:jc w:val="center"/>
              <w:rPr>
                <w:rFonts w:cs="Arial"/>
                <w:b/>
                <w:bCs/>
                <w:color w:val="000000"/>
                <w:sz w:val="20"/>
                <w:lang w:eastAsia="en-GB"/>
              </w:rPr>
            </w:pPr>
            <w:r w:rsidRPr="00072702">
              <w:rPr>
                <w:rFonts w:cs="Arial"/>
                <w:b/>
                <w:bCs/>
                <w:color w:val="000000"/>
                <w:sz w:val="20"/>
                <w:lang w:eastAsia="en-GB"/>
              </w:rPr>
              <w:t>£’000</w:t>
            </w:r>
          </w:p>
        </w:tc>
      </w:tr>
      <w:tr w:rsidR="00072702" w:rsidRPr="00072702" w14:paraId="5AEC8A96" w14:textId="77777777" w:rsidTr="00072702">
        <w:trPr>
          <w:trHeight w:val="293"/>
        </w:trPr>
        <w:tc>
          <w:tcPr>
            <w:tcW w:w="1464" w:type="dxa"/>
            <w:tcBorders>
              <w:top w:val="nil"/>
              <w:left w:val="single" w:sz="8" w:space="0" w:color="auto"/>
              <w:bottom w:val="nil"/>
              <w:right w:val="single" w:sz="8" w:space="0" w:color="auto"/>
            </w:tcBorders>
            <w:shd w:val="clear" w:color="auto" w:fill="auto"/>
            <w:vAlign w:val="center"/>
            <w:hideMark/>
          </w:tcPr>
          <w:p w14:paraId="07652779" w14:textId="77777777" w:rsidR="00072702" w:rsidRPr="00072702" w:rsidRDefault="00072702" w:rsidP="00072702">
            <w:pPr>
              <w:rPr>
                <w:rFonts w:cs="Arial"/>
                <w:color w:val="000000"/>
                <w:sz w:val="20"/>
                <w:lang w:eastAsia="en-GB"/>
              </w:rPr>
            </w:pPr>
            <w:r w:rsidRPr="00072702">
              <w:rPr>
                <w:rFonts w:cs="Arial"/>
                <w:color w:val="000000"/>
                <w:sz w:val="20"/>
                <w:lang w:eastAsia="en-GB"/>
              </w:rPr>
              <w:t>Adults</w:t>
            </w:r>
          </w:p>
        </w:tc>
        <w:tc>
          <w:tcPr>
            <w:tcW w:w="3065" w:type="dxa"/>
            <w:tcBorders>
              <w:top w:val="nil"/>
              <w:left w:val="nil"/>
              <w:bottom w:val="single" w:sz="8" w:space="0" w:color="auto"/>
              <w:right w:val="single" w:sz="8" w:space="0" w:color="auto"/>
            </w:tcBorders>
            <w:shd w:val="clear" w:color="auto" w:fill="auto"/>
            <w:noWrap/>
            <w:vAlign w:val="center"/>
            <w:hideMark/>
          </w:tcPr>
          <w:p w14:paraId="4EA7F891" w14:textId="77777777" w:rsidR="00072702" w:rsidRPr="00072702" w:rsidRDefault="00072702" w:rsidP="00072702">
            <w:pPr>
              <w:rPr>
                <w:rFonts w:cs="Arial"/>
                <w:color w:val="000000"/>
                <w:sz w:val="20"/>
                <w:lang w:eastAsia="en-GB"/>
              </w:rPr>
            </w:pPr>
            <w:r w:rsidRPr="00072702">
              <w:rPr>
                <w:rFonts w:cs="Arial"/>
                <w:color w:val="000000"/>
                <w:sz w:val="20"/>
                <w:lang w:eastAsia="en-GB"/>
              </w:rPr>
              <w:t>Strategic Management</w:t>
            </w:r>
          </w:p>
        </w:tc>
        <w:tc>
          <w:tcPr>
            <w:tcW w:w="1055" w:type="dxa"/>
            <w:tcBorders>
              <w:top w:val="nil"/>
              <w:left w:val="nil"/>
              <w:bottom w:val="single" w:sz="8" w:space="0" w:color="auto"/>
              <w:right w:val="single" w:sz="8" w:space="0" w:color="auto"/>
            </w:tcBorders>
            <w:shd w:val="clear" w:color="000000" w:fill="FFFFFF"/>
            <w:noWrap/>
            <w:vAlign w:val="center"/>
            <w:hideMark/>
          </w:tcPr>
          <w:p w14:paraId="1CF7A194"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902</w:t>
            </w:r>
          </w:p>
        </w:tc>
        <w:tc>
          <w:tcPr>
            <w:tcW w:w="950" w:type="dxa"/>
            <w:tcBorders>
              <w:top w:val="nil"/>
              <w:left w:val="nil"/>
              <w:bottom w:val="single" w:sz="8" w:space="0" w:color="auto"/>
              <w:right w:val="single" w:sz="8" w:space="0" w:color="auto"/>
            </w:tcBorders>
            <w:shd w:val="clear" w:color="000000" w:fill="FFFFFF"/>
            <w:noWrap/>
            <w:vAlign w:val="center"/>
            <w:hideMark/>
          </w:tcPr>
          <w:p w14:paraId="62FE6881"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589</w:t>
            </w:r>
          </w:p>
        </w:tc>
        <w:tc>
          <w:tcPr>
            <w:tcW w:w="1106" w:type="dxa"/>
            <w:tcBorders>
              <w:top w:val="nil"/>
              <w:left w:val="nil"/>
              <w:bottom w:val="single" w:sz="8" w:space="0" w:color="auto"/>
              <w:right w:val="single" w:sz="8" w:space="0" w:color="auto"/>
            </w:tcBorders>
            <w:shd w:val="clear" w:color="000000" w:fill="FFFFFF"/>
            <w:vAlign w:val="center"/>
            <w:hideMark/>
          </w:tcPr>
          <w:p w14:paraId="54FC107A"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130</w:t>
            </w:r>
          </w:p>
        </w:tc>
        <w:tc>
          <w:tcPr>
            <w:tcW w:w="998" w:type="dxa"/>
            <w:tcBorders>
              <w:top w:val="nil"/>
              <w:left w:val="nil"/>
              <w:bottom w:val="single" w:sz="8" w:space="0" w:color="auto"/>
              <w:right w:val="single" w:sz="8" w:space="0" w:color="auto"/>
            </w:tcBorders>
            <w:shd w:val="clear" w:color="auto" w:fill="auto"/>
            <w:vAlign w:val="center"/>
            <w:hideMark/>
          </w:tcPr>
          <w:p w14:paraId="6510FC93"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1050" w:type="dxa"/>
            <w:tcBorders>
              <w:top w:val="nil"/>
              <w:left w:val="nil"/>
              <w:bottom w:val="single" w:sz="8" w:space="0" w:color="auto"/>
              <w:right w:val="single" w:sz="8" w:space="0" w:color="auto"/>
            </w:tcBorders>
            <w:shd w:val="clear" w:color="auto" w:fill="auto"/>
            <w:vAlign w:val="center"/>
            <w:hideMark/>
          </w:tcPr>
          <w:p w14:paraId="57B66E97"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719</w:t>
            </w:r>
          </w:p>
        </w:tc>
        <w:tc>
          <w:tcPr>
            <w:tcW w:w="1086" w:type="dxa"/>
            <w:tcBorders>
              <w:top w:val="nil"/>
              <w:left w:val="nil"/>
              <w:bottom w:val="single" w:sz="8" w:space="0" w:color="auto"/>
              <w:right w:val="single" w:sz="8" w:space="0" w:color="auto"/>
            </w:tcBorders>
            <w:shd w:val="clear" w:color="000000" w:fill="F2F2F2"/>
            <w:vAlign w:val="center"/>
            <w:hideMark/>
          </w:tcPr>
          <w:p w14:paraId="0CBD72DF"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-183</w:t>
            </w:r>
          </w:p>
        </w:tc>
      </w:tr>
      <w:tr w:rsidR="00072702" w:rsidRPr="00072702" w14:paraId="00D08F07" w14:textId="77777777" w:rsidTr="00072702">
        <w:trPr>
          <w:trHeight w:val="287"/>
        </w:trPr>
        <w:tc>
          <w:tcPr>
            <w:tcW w:w="1464" w:type="dxa"/>
            <w:tcBorders>
              <w:top w:val="nil"/>
              <w:left w:val="single" w:sz="8" w:space="0" w:color="auto"/>
              <w:bottom w:val="nil"/>
              <w:right w:val="single" w:sz="8" w:space="0" w:color="auto"/>
            </w:tcBorders>
            <w:shd w:val="clear" w:color="auto" w:fill="auto"/>
            <w:vAlign w:val="center"/>
            <w:hideMark/>
          </w:tcPr>
          <w:p w14:paraId="3F8D7176" w14:textId="77777777" w:rsidR="00072702" w:rsidRPr="00072702" w:rsidRDefault="00072702" w:rsidP="00072702">
            <w:pPr>
              <w:rPr>
                <w:rFonts w:cs="Arial"/>
                <w:color w:val="000000"/>
                <w:sz w:val="20"/>
                <w:lang w:eastAsia="en-GB"/>
              </w:rPr>
            </w:pPr>
            <w:r w:rsidRPr="00072702">
              <w:rPr>
                <w:rFonts w:cs="Arial"/>
                <w:color w:val="000000"/>
                <w:sz w:val="20"/>
                <w:lang w:eastAsia="en-GB"/>
              </w:rPr>
              <w:t> </w:t>
            </w:r>
          </w:p>
        </w:tc>
        <w:tc>
          <w:tcPr>
            <w:tcW w:w="3065" w:type="dxa"/>
            <w:tcBorders>
              <w:top w:val="nil"/>
              <w:left w:val="nil"/>
              <w:bottom w:val="single" w:sz="8" w:space="0" w:color="auto"/>
              <w:right w:val="single" w:sz="8" w:space="0" w:color="auto"/>
            </w:tcBorders>
            <w:shd w:val="clear" w:color="auto" w:fill="auto"/>
            <w:noWrap/>
            <w:vAlign w:val="center"/>
            <w:hideMark/>
          </w:tcPr>
          <w:p w14:paraId="304694F5" w14:textId="77777777" w:rsidR="00072702" w:rsidRPr="00072702" w:rsidRDefault="00072702" w:rsidP="00072702">
            <w:pPr>
              <w:rPr>
                <w:rFonts w:cs="Arial"/>
                <w:color w:val="000000"/>
                <w:sz w:val="20"/>
                <w:lang w:eastAsia="en-GB"/>
              </w:rPr>
            </w:pPr>
            <w:r w:rsidRPr="00072702">
              <w:rPr>
                <w:rFonts w:cs="Arial"/>
                <w:color w:val="000000"/>
                <w:sz w:val="20"/>
                <w:lang w:eastAsia="en-GB"/>
              </w:rPr>
              <w:t>Staffing</w:t>
            </w:r>
          </w:p>
        </w:tc>
        <w:tc>
          <w:tcPr>
            <w:tcW w:w="1055" w:type="dxa"/>
            <w:tcBorders>
              <w:top w:val="nil"/>
              <w:left w:val="nil"/>
              <w:bottom w:val="single" w:sz="8" w:space="0" w:color="auto"/>
              <w:right w:val="single" w:sz="8" w:space="0" w:color="auto"/>
            </w:tcBorders>
            <w:shd w:val="clear" w:color="000000" w:fill="FFFFFF"/>
            <w:noWrap/>
            <w:vAlign w:val="center"/>
            <w:hideMark/>
          </w:tcPr>
          <w:p w14:paraId="1ECD53B9"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9,977</w:t>
            </w:r>
          </w:p>
        </w:tc>
        <w:tc>
          <w:tcPr>
            <w:tcW w:w="950" w:type="dxa"/>
            <w:tcBorders>
              <w:top w:val="nil"/>
              <w:left w:val="nil"/>
              <w:bottom w:val="single" w:sz="8" w:space="0" w:color="auto"/>
              <w:right w:val="single" w:sz="8" w:space="0" w:color="auto"/>
            </w:tcBorders>
            <w:shd w:val="clear" w:color="000000" w:fill="FFFFFF"/>
            <w:noWrap/>
            <w:vAlign w:val="center"/>
            <w:hideMark/>
          </w:tcPr>
          <w:p w14:paraId="46119615"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10,308</w:t>
            </w:r>
          </w:p>
        </w:tc>
        <w:tc>
          <w:tcPr>
            <w:tcW w:w="1106" w:type="dxa"/>
            <w:tcBorders>
              <w:top w:val="nil"/>
              <w:left w:val="nil"/>
              <w:bottom w:val="single" w:sz="8" w:space="0" w:color="auto"/>
              <w:right w:val="single" w:sz="8" w:space="0" w:color="auto"/>
            </w:tcBorders>
            <w:shd w:val="clear" w:color="000000" w:fill="FFFFFF"/>
            <w:vAlign w:val="center"/>
            <w:hideMark/>
          </w:tcPr>
          <w:p w14:paraId="2BB76E1C"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 </w:t>
            </w:r>
          </w:p>
        </w:tc>
        <w:tc>
          <w:tcPr>
            <w:tcW w:w="998" w:type="dxa"/>
            <w:tcBorders>
              <w:top w:val="nil"/>
              <w:left w:val="nil"/>
              <w:bottom w:val="single" w:sz="8" w:space="0" w:color="auto"/>
              <w:right w:val="single" w:sz="8" w:space="0" w:color="auto"/>
            </w:tcBorders>
            <w:shd w:val="clear" w:color="auto" w:fill="auto"/>
            <w:vAlign w:val="center"/>
            <w:hideMark/>
          </w:tcPr>
          <w:p w14:paraId="3707F0C7"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1050" w:type="dxa"/>
            <w:tcBorders>
              <w:top w:val="nil"/>
              <w:left w:val="nil"/>
              <w:bottom w:val="single" w:sz="8" w:space="0" w:color="auto"/>
              <w:right w:val="single" w:sz="8" w:space="0" w:color="auto"/>
            </w:tcBorders>
            <w:shd w:val="clear" w:color="auto" w:fill="auto"/>
            <w:vAlign w:val="center"/>
            <w:hideMark/>
          </w:tcPr>
          <w:p w14:paraId="46ACDC82"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10,308</w:t>
            </w:r>
          </w:p>
        </w:tc>
        <w:tc>
          <w:tcPr>
            <w:tcW w:w="1086" w:type="dxa"/>
            <w:tcBorders>
              <w:top w:val="nil"/>
              <w:left w:val="nil"/>
              <w:bottom w:val="single" w:sz="8" w:space="0" w:color="auto"/>
              <w:right w:val="single" w:sz="8" w:space="0" w:color="auto"/>
            </w:tcBorders>
            <w:shd w:val="clear" w:color="000000" w:fill="F2F2F2"/>
            <w:vAlign w:val="center"/>
            <w:hideMark/>
          </w:tcPr>
          <w:p w14:paraId="70943560"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331</w:t>
            </w:r>
          </w:p>
        </w:tc>
      </w:tr>
      <w:tr w:rsidR="00072702" w:rsidRPr="00072702" w14:paraId="5769EDF8" w14:textId="77777777" w:rsidTr="00072702">
        <w:trPr>
          <w:trHeight w:val="287"/>
        </w:trPr>
        <w:tc>
          <w:tcPr>
            <w:tcW w:w="1464" w:type="dxa"/>
            <w:tcBorders>
              <w:top w:val="nil"/>
              <w:left w:val="single" w:sz="8" w:space="0" w:color="auto"/>
              <w:bottom w:val="nil"/>
              <w:right w:val="single" w:sz="8" w:space="0" w:color="auto"/>
            </w:tcBorders>
            <w:shd w:val="clear" w:color="auto" w:fill="auto"/>
            <w:vAlign w:val="center"/>
            <w:hideMark/>
          </w:tcPr>
          <w:p w14:paraId="5C0BA96D" w14:textId="77777777" w:rsidR="00072702" w:rsidRPr="00072702" w:rsidRDefault="00072702" w:rsidP="00072702">
            <w:pPr>
              <w:rPr>
                <w:rFonts w:cs="Arial"/>
                <w:color w:val="000000"/>
                <w:sz w:val="20"/>
                <w:lang w:eastAsia="en-GB"/>
              </w:rPr>
            </w:pPr>
            <w:r w:rsidRPr="00072702">
              <w:rPr>
                <w:rFonts w:cs="Arial"/>
                <w:color w:val="000000"/>
                <w:sz w:val="20"/>
                <w:lang w:eastAsia="en-GB"/>
              </w:rPr>
              <w:t> </w:t>
            </w:r>
          </w:p>
        </w:tc>
        <w:tc>
          <w:tcPr>
            <w:tcW w:w="3065" w:type="dxa"/>
            <w:tcBorders>
              <w:top w:val="nil"/>
              <w:left w:val="nil"/>
              <w:bottom w:val="single" w:sz="8" w:space="0" w:color="auto"/>
              <w:right w:val="single" w:sz="8" w:space="0" w:color="auto"/>
            </w:tcBorders>
            <w:shd w:val="clear" w:color="auto" w:fill="auto"/>
            <w:noWrap/>
            <w:vAlign w:val="center"/>
            <w:hideMark/>
          </w:tcPr>
          <w:p w14:paraId="466FA90B" w14:textId="77777777" w:rsidR="00072702" w:rsidRPr="00072702" w:rsidRDefault="00072702" w:rsidP="00072702">
            <w:pPr>
              <w:rPr>
                <w:rFonts w:cs="Arial"/>
                <w:color w:val="000000"/>
                <w:sz w:val="20"/>
                <w:lang w:eastAsia="en-GB"/>
              </w:rPr>
            </w:pPr>
            <w:r w:rsidRPr="00072702">
              <w:rPr>
                <w:rFonts w:cs="Arial"/>
                <w:color w:val="000000"/>
                <w:sz w:val="20"/>
                <w:lang w:eastAsia="en-GB"/>
              </w:rPr>
              <w:t>Equipment</w:t>
            </w:r>
          </w:p>
        </w:tc>
        <w:tc>
          <w:tcPr>
            <w:tcW w:w="1055" w:type="dxa"/>
            <w:tcBorders>
              <w:top w:val="nil"/>
              <w:left w:val="nil"/>
              <w:bottom w:val="single" w:sz="8" w:space="0" w:color="auto"/>
              <w:right w:val="single" w:sz="8" w:space="0" w:color="auto"/>
            </w:tcBorders>
            <w:shd w:val="clear" w:color="000000" w:fill="FFFFFF"/>
            <w:noWrap/>
            <w:vAlign w:val="center"/>
            <w:hideMark/>
          </w:tcPr>
          <w:p w14:paraId="44B4E642"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967</w:t>
            </w:r>
          </w:p>
        </w:tc>
        <w:tc>
          <w:tcPr>
            <w:tcW w:w="950" w:type="dxa"/>
            <w:tcBorders>
              <w:top w:val="nil"/>
              <w:left w:val="nil"/>
              <w:bottom w:val="single" w:sz="8" w:space="0" w:color="auto"/>
              <w:right w:val="single" w:sz="8" w:space="0" w:color="auto"/>
            </w:tcBorders>
            <w:shd w:val="clear" w:color="000000" w:fill="FFFFFF"/>
            <w:noWrap/>
            <w:vAlign w:val="center"/>
            <w:hideMark/>
          </w:tcPr>
          <w:p w14:paraId="6AF254F4"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1,263</w:t>
            </w:r>
          </w:p>
        </w:tc>
        <w:tc>
          <w:tcPr>
            <w:tcW w:w="1106" w:type="dxa"/>
            <w:tcBorders>
              <w:top w:val="nil"/>
              <w:left w:val="nil"/>
              <w:bottom w:val="single" w:sz="8" w:space="0" w:color="auto"/>
              <w:right w:val="single" w:sz="8" w:space="0" w:color="auto"/>
            </w:tcBorders>
            <w:shd w:val="clear" w:color="000000" w:fill="FFFFFF"/>
            <w:vAlign w:val="center"/>
            <w:hideMark/>
          </w:tcPr>
          <w:p w14:paraId="6DB212D1"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 </w:t>
            </w:r>
          </w:p>
        </w:tc>
        <w:tc>
          <w:tcPr>
            <w:tcW w:w="998" w:type="dxa"/>
            <w:tcBorders>
              <w:top w:val="nil"/>
              <w:left w:val="nil"/>
              <w:bottom w:val="single" w:sz="8" w:space="0" w:color="auto"/>
              <w:right w:val="single" w:sz="8" w:space="0" w:color="auto"/>
            </w:tcBorders>
            <w:shd w:val="clear" w:color="auto" w:fill="auto"/>
            <w:vAlign w:val="center"/>
            <w:hideMark/>
          </w:tcPr>
          <w:p w14:paraId="6388D7A1"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1050" w:type="dxa"/>
            <w:tcBorders>
              <w:top w:val="nil"/>
              <w:left w:val="nil"/>
              <w:bottom w:val="single" w:sz="8" w:space="0" w:color="auto"/>
              <w:right w:val="single" w:sz="8" w:space="0" w:color="auto"/>
            </w:tcBorders>
            <w:shd w:val="clear" w:color="auto" w:fill="auto"/>
            <w:vAlign w:val="center"/>
            <w:hideMark/>
          </w:tcPr>
          <w:p w14:paraId="13C5377F"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1,263</w:t>
            </w:r>
          </w:p>
        </w:tc>
        <w:tc>
          <w:tcPr>
            <w:tcW w:w="1086" w:type="dxa"/>
            <w:tcBorders>
              <w:top w:val="nil"/>
              <w:left w:val="nil"/>
              <w:bottom w:val="single" w:sz="8" w:space="0" w:color="auto"/>
              <w:right w:val="single" w:sz="8" w:space="0" w:color="auto"/>
            </w:tcBorders>
            <w:shd w:val="clear" w:color="000000" w:fill="F2F2F2"/>
            <w:vAlign w:val="center"/>
            <w:hideMark/>
          </w:tcPr>
          <w:p w14:paraId="0FEECE38"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296</w:t>
            </w:r>
          </w:p>
        </w:tc>
      </w:tr>
      <w:tr w:rsidR="00072702" w:rsidRPr="00072702" w14:paraId="6149BD2A" w14:textId="77777777" w:rsidTr="00072702">
        <w:trPr>
          <w:trHeight w:val="287"/>
        </w:trPr>
        <w:tc>
          <w:tcPr>
            <w:tcW w:w="1464" w:type="dxa"/>
            <w:tcBorders>
              <w:top w:val="nil"/>
              <w:left w:val="single" w:sz="8" w:space="0" w:color="auto"/>
              <w:bottom w:val="nil"/>
              <w:right w:val="single" w:sz="8" w:space="0" w:color="auto"/>
            </w:tcBorders>
            <w:shd w:val="clear" w:color="auto" w:fill="auto"/>
            <w:vAlign w:val="center"/>
            <w:hideMark/>
          </w:tcPr>
          <w:p w14:paraId="15DB22B5" w14:textId="77777777" w:rsidR="00072702" w:rsidRPr="00072702" w:rsidRDefault="00072702" w:rsidP="00072702">
            <w:pPr>
              <w:rPr>
                <w:rFonts w:cs="Arial"/>
                <w:color w:val="000000"/>
                <w:sz w:val="20"/>
                <w:lang w:eastAsia="en-GB"/>
              </w:rPr>
            </w:pPr>
            <w:r w:rsidRPr="00072702">
              <w:rPr>
                <w:rFonts w:cs="Arial"/>
                <w:color w:val="000000"/>
                <w:sz w:val="20"/>
                <w:lang w:eastAsia="en-GB"/>
              </w:rPr>
              <w:t> </w:t>
            </w:r>
          </w:p>
        </w:tc>
        <w:tc>
          <w:tcPr>
            <w:tcW w:w="3065" w:type="dxa"/>
            <w:tcBorders>
              <w:top w:val="nil"/>
              <w:left w:val="nil"/>
              <w:bottom w:val="single" w:sz="8" w:space="0" w:color="auto"/>
              <w:right w:val="single" w:sz="8" w:space="0" w:color="auto"/>
            </w:tcBorders>
            <w:shd w:val="clear" w:color="auto" w:fill="auto"/>
            <w:noWrap/>
            <w:vAlign w:val="center"/>
            <w:hideMark/>
          </w:tcPr>
          <w:p w14:paraId="12CF248B" w14:textId="77777777" w:rsidR="00072702" w:rsidRPr="00072702" w:rsidRDefault="00072702" w:rsidP="00072702">
            <w:pPr>
              <w:rPr>
                <w:rFonts w:cs="Arial"/>
                <w:color w:val="000000"/>
                <w:sz w:val="20"/>
                <w:lang w:eastAsia="en-GB"/>
              </w:rPr>
            </w:pPr>
            <w:r w:rsidRPr="00072702">
              <w:rPr>
                <w:rFonts w:cs="Arial"/>
                <w:color w:val="000000"/>
                <w:sz w:val="20"/>
                <w:lang w:eastAsia="en-GB"/>
              </w:rPr>
              <w:t>Contracts</w:t>
            </w:r>
          </w:p>
        </w:tc>
        <w:tc>
          <w:tcPr>
            <w:tcW w:w="1055" w:type="dxa"/>
            <w:tcBorders>
              <w:top w:val="nil"/>
              <w:left w:val="nil"/>
              <w:bottom w:val="single" w:sz="8" w:space="0" w:color="auto"/>
              <w:right w:val="single" w:sz="8" w:space="0" w:color="auto"/>
            </w:tcBorders>
            <w:shd w:val="clear" w:color="000000" w:fill="FFFFFF"/>
            <w:noWrap/>
            <w:vAlign w:val="center"/>
            <w:hideMark/>
          </w:tcPr>
          <w:p w14:paraId="2FB9911C"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1,409</w:t>
            </w:r>
          </w:p>
        </w:tc>
        <w:tc>
          <w:tcPr>
            <w:tcW w:w="950" w:type="dxa"/>
            <w:tcBorders>
              <w:top w:val="nil"/>
              <w:left w:val="nil"/>
              <w:bottom w:val="single" w:sz="8" w:space="0" w:color="auto"/>
              <w:right w:val="single" w:sz="8" w:space="0" w:color="auto"/>
            </w:tcBorders>
            <w:shd w:val="clear" w:color="000000" w:fill="FFFFFF"/>
            <w:noWrap/>
            <w:vAlign w:val="center"/>
            <w:hideMark/>
          </w:tcPr>
          <w:p w14:paraId="7D00A3E1"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1,373</w:t>
            </w:r>
          </w:p>
        </w:tc>
        <w:tc>
          <w:tcPr>
            <w:tcW w:w="1106" w:type="dxa"/>
            <w:tcBorders>
              <w:top w:val="nil"/>
              <w:left w:val="nil"/>
              <w:bottom w:val="single" w:sz="8" w:space="0" w:color="auto"/>
              <w:right w:val="single" w:sz="8" w:space="0" w:color="auto"/>
            </w:tcBorders>
            <w:shd w:val="clear" w:color="000000" w:fill="FFFFFF"/>
            <w:vAlign w:val="center"/>
            <w:hideMark/>
          </w:tcPr>
          <w:p w14:paraId="1C9BDE3C"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998" w:type="dxa"/>
            <w:tcBorders>
              <w:top w:val="nil"/>
              <w:left w:val="nil"/>
              <w:bottom w:val="single" w:sz="8" w:space="0" w:color="auto"/>
              <w:right w:val="single" w:sz="8" w:space="0" w:color="auto"/>
            </w:tcBorders>
            <w:shd w:val="clear" w:color="auto" w:fill="auto"/>
            <w:vAlign w:val="center"/>
            <w:hideMark/>
          </w:tcPr>
          <w:p w14:paraId="22A96210"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1050" w:type="dxa"/>
            <w:tcBorders>
              <w:top w:val="nil"/>
              <w:left w:val="nil"/>
              <w:bottom w:val="single" w:sz="8" w:space="0" w:color="auto"/>
              <w:right w:val="single" w:sz="8" w:space="0" w:color="auto"/>
            </w:tcBorders>
            <w:shd w:val="clear" w:color="auto" w:fill="auto"/>
            <w:vAlign w:val="center"/>
            <w:hideMark/>
          </w:tcPr>
          <w:p w14:paraId="5723D77A"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1,373</w:t>
            </w:r>
          </w:p>
        </w:tc>
        <w:tc>
          <w:tcPr>
            <w:tcW w:w="1086" w:type="dxa"/>
            <w:tcBorders>
              <w:top w:val="nil"/>
              <w:left w:val="nil"/>
              <w:bottom w:val="single" w:sz="8" w:space="0" w:color="auto"/>
              <w:right w:val="single" w:sz="8" w:space="0" w:color="auto"/>
            </w:tcBorders>
            <w:shd w:val="clear" w:color="000000" w:fill="F2F2F2"/>
            <w:vAlign w:val="center"/>
            <w:hideMark/>
          </w:tcPr>
          <w:p w14:paraId="150E5118"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-36</w:t>
            </w:r>
          </w:p>
        </w:tc>
      </w:tr>
      <w:tr w:rsidR="00072702" w:rsidRPr="00072702" w14:paraId="17F4389A" w14:textId="77777777" w:rsidTr="00072702">
        <w:trPr>
          <w:trHeight w:val="287"/>
        </w:trPr>
        <w:tc>
          <w:tcPr>
            <w:tcW w:w="1464" w:type="dxa"/>
            <w:tcBorders>
              <w:top w:val="nil"/>
              <w:left w:val="single" w:sz="8" w:space="0" w:color="auto"/>
              <w:bottom w:val="nil"/>
              <w:right w:val="single" w:sz="8" w:space="0" w:color="auto"/>
            </w:tcBorders>
            <w:shd w:val="clear" w:color="auto" w:fill="auto"/>
            <w:vAlign w:val="center"/>
            <w:hideMark/>
          </w:tcPr>
          <w:p w14:paraId="64EADDFB" w14:textId="77777777" w:rsidR="00072702" w:rsidRPr="00072702" w:rsidRDefault="00072702" w:rsidP="00072702">
            <w:pPr>
              <w:rPr>
                <w:rFonts w:cs="Arial"/>
                <w:color w:val="000000"/>
                <w:sz w:val="20"/>
                <w:lang w:eastAsia="en-GB"/>
              </w:rPr>
            </w:pPr>
            <w:r w:rsidRPr="00072702">
              <w:rPr>
                <w:rFonts w:cs="Arial"/>
                <w:color w:val="000000"/>
                <w:sz w:val="20"/>
                <w:lang w:eastAsia="en-GB"/>
              </w:rPr>
              <w:t> </w:t>
            </w:r>
          </w:p>
        </w:tc>
        <w:tc>
          <w:tcPr>
            <w:tcW w:w="3065" w:type="dxa"/>
            <w:tcBorders>
              <w:top w:val="nil"/>
              <w:left w:val="nil"/>
              <w:bottom w:val="single" w:sz="8" w:space="0" w:color="auto"/>
              <w:right w:val="single" w:sz="8" w:space="0" w:color="auto"/>
            </w:tcBorders>
            <w:shd w:val="clear" w:color="auto" w:fill="auto"/>
            <w:noWrap/>
            <w:vAlign w:val="center"/>
            <w:hideMark/>
          </w:tcPr>
          <w:p w14:paraId="2152CB57" w14:textId="77777777" w:rsidR="00072702" w:rsidRPr="00072702" w:rsidRDefault="00072702" w:rsidP="00072702">
            <w:pPr>
              <w:rPr>
                <w:rFonts w:cs="Arial"/>
                <w:color w:val="000000"/>
                <w:sz w:val="20"/>
                <w:lang w:eastAsia="en-GB"/>
              </w:rPr>
            </w:pPr>
            <w:r w:rsidRPr="00072702">
              <w:rPr>
                <w:rFonts w:cs="Arial"/>
                <w:color w:val="000000"/>
                <w:sz w:val="20"/>
                <w:lang w:eastAsia="en-GB"/>
              </w:rPr>
              <w:t>Mental Health</w:t>
            </w:r>
          </w:p>
        </w:tc>
        <w:tc>
          <w:tcPr>
            <w:tcW w:w="1055" w:type="dxa"/>
            <w:tcBorders>
              <w:top w:val="nil"/>
              <w:left w:val="nil"/>
              <w:bottom w:val="single" w:sz="8" w:space="0" w:color="auto"/>
              <w:right w:val="single" w:sz="8" w:space="0" w:color="auto"/>
            </w:tcBorders>
            <w:shd w:val="clear" w:color="000000" w:fill="FFFFFF"/>
            <w:noWrap/>
            <w:vAlign w:val="center"/>
            <w:hideMark/>
          </w:tcPr>
          <w:p w14:paraId="004F8454"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6,565</w:t>
            </w:r>
          </w:p>
        </w:tc>
        <w:tc>
          <w:tcPr>
            <w:tcW w:w="950" w:type="dxa"/>
            <w:tcBorders>
              <w:top w:val="nil"/>
              <w:left w:val="nil"/>
              <w:bottom w:val="single" w:sz="8" w:space="0" w:color="auto"/>
              <w:right w:val="single" w:sz="8" w:space="0" w:color="auto"/>
            </w:tcBorders>
            <w:shd w:val="clear" w:color="000000" w:fill="FFFFFF"/>
            <w:noWrap/>
            <w:vAlign w:val="center"/>
            <w:hideMark/>
          </w:tcPr>
          <w:p w14:paraId="05943514"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5,903</w:t>
            </w:r>
          </w:p>
        </w:tc>
        <w:tc>
          <w:tcPr>
            <w:tcW w:w="1106" w:type="dxa"/>
            <w:tcBorders>
              <w:top w:val="nil"/>
              <w:left w:val="nil"/>
              <w:bottom w:val="single" w:sz="8" w:space="0" w:color="auto"/>
              <w:right w:val="single" w:sz="8" w:space="0" w:color="auto"/>
            </w:tcBorders>
            <w:shd w:val="clear" w:color="000000" w:fill="FFFFFF"/>
            <w:vAlign w:val="center"/>
            <w:hideMark/>
          </w:tcPr>
          <w:p w14:paraId="21C4FA57"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998" w:type="dxa"/>
            <w:tcBorders>
              <w:top w:val="nil"/>
              <w:left w:val="nil"/>
              <w:bottom w:val="single" w:sz="8" w:space="0" w:color="auto"/>
              <w:right w:val="single" w:sz="8" w:space="0" w:color="auto"/>
            </w:tcBorders>
            <w:shd w:val="clear" w:color="auto" w:fill="auto"/>
            <w:vAlign w:val="center"/>
            <w:hideMark/>
          </w:tcPr>
          <w:p w14:paraId="1CC494B0"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1050" w:type="dxa"/>
            <w:tcBorders>
              <w:top w:val="nil"/>
              <w:left w:val="nil"/>
              <w:bottom w:val="single" w:sz="8" w:space="0" w:color="auto"/>
              <w:right w:val="single" w:sz="8" w:space="0" w:color="auto"/>
            </w:tcBorders>
            <w:shd w:val="clear" w:color="auto" w:fill="auto"/>
            <w:vAlign w:val="center"/>
            <w:hideMark/>
          </w:tcPr>
          <w:p w14:paraId="3C88F69F"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5,903</w:t>
            </w:r>
          </w:p>
        </w:tc>
        <w:tc>
          <w:tcPr>
            <w:tcW w:w="1086" w:type="dxa"/>
            <w:tcBorders>
              <w:top w:val="nil"/>
              <w:left w:val="nil"/>
              <w:bottom w:val="single" w:sz="8" w:space="0" w:color="auto"/>
              <w:right w:val="single" w:sz="8" w:space="0" w:color="auto"/>
            </w:tcBorders>
            <w:shd w:val="clear" w:color="000000" w:fill="F2F2F2"/>
            <w:vAlign w:val="center"/>
            <w:hideMark/>
          </w:tcPr>
          <w:p w14:paraId="6D6A0950"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-662</w:t>
            </w:r>
          </w:p>
        </w:tc>
      </w:tr>
      <w:tr w:rsidR="00072702" w:rsidRPr="00072702" w14:paraId="39EB225A" w14:textId="77777777" w:rsidTr="00072702">
        <w:trPr>
          <w:trHeight w:val="287"/>
        </w:trPr>
        <w:tc>
          <w:tcPr>
            <w:tcW w:w="1464" w:type="dxa"/>
            <w:tcBorders>
              <w:top w:val="nil"/>
              <w:left w:val="single" w:sz="8" w:space="0" w:color="auto"/>
              <w:bottom w:val="nil"/>
              <w:right w:val="single" w:sz="8" w:space="0" w:color="auto"/>
            </w:tcBorders>
            <w:shd w:val="clear" w:color="auto" w:fill="auto"/>
            <w:vAlign w:val="center"/>
            <w:hideMark/>
          </w:tcPr>
          <w:p w14:paraId="0F2C2D36" w14:textId="77777777" w:rsidR="00072702" w:rsidRPr="00072702" w:rsidRDefault="00072702" w:rsidP="00072702">
            <w:pPr>
              <w:rPr>
                <w:rFonts w:cs="Arial"/>
                <w:color w:val="000000"/>
                <w:sz w:val="20"/>
                <w:lang w:eastAsia="en-GB"/>
              </w:rPr>
            </w:pPr>
            <w:r w:rsidRPr="00072702">
              <w:rPr>
                <w:rFonts w:cs="Arial"/>
                <w:color w:val="000000"/>
                <w:sz w:val="20"/>
                <w:lang w:eastAsia="en-GB"/>
              </w:rPr>
              <w:t> </w:t>
            </w:r>
          </w:p>
        </w:tc>
        <w:tc>
          <w:tcPr>
            <w:tcW w:w="3065" w:type="dxa"/>
            <w:tcBorders>
              <w:top w:val="nil"/>
              <w:left w:val="nil"/>
              <w:bottom w:val="single" w:sz="8" w:space="0" w:color="auto"/>
              <w:right w:val="single" w:sz="8" w:space="0" w:color="auto"/>
            </w:tcBorders>
            <w:shd w:val="clear" w:color="auto" w:fill="auto"/>
            <w:noWrap/>
            <w:vAlign w:val="center"/>
            <w:hideMark/>
          </w:tcPr>
          <w:p w14:paraId="2CCF2C1D" w14:textId="77777777" w:rsidR="00072702" w:rsidRPr="00072702" w:rsidRDefault="00072702" w:rsidP="00072702">
            <w:pPr>
              <w:rPr>
                <w:rFonts w:cs="Arial"/>
                <w:color w:val="000000"/>
                <w:sz w:val="20"/>
                <w:lang w:eastAsia="en-GB"/>
              </w:rPr>
            </w:pPr>
            <w:r w:rsidRPr="00072702">
              <w:rPr>
                <w:rFonts w:cs="Arial"/>
                <w:color w:val="000000"/>
                <w:sz w:val="20"/>
                <w:lang w:eastAsia="en-GB"/>
              </w:rPr>
              <w:t>Better Care Fund</w:t>
            </w:r>
          </w:p>
        </w:tc>
        <w:tc>
          <w:tcPr>
            <w:tcW w:w="1055" w:type="dxa"/>
            <w:tcBorders>
              <w:top w:val="nil"/>
              <w:left w:val="nil"/>
              <w:bottom w:val="single" w:sz="8" w:space="0" w:color="auto"/>
              <w:right w:val="single" w:sz="8" w:space="0" w:color="auto"/>
            </w:tcBorders>
            <w:shd w:val="clear" w:color="000000" w:fill="FFFFFF"/>
            <w:noWrap/>
            <w:vAlign w:val="center"/>
            <w:hideMark/>
          </w:tcPr>
          <w:p w14:paraId="22DC108E"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-12,434</w:t>
            </w:r>
          </w:p>
        </w:tc>
        <w:tc>
          <w:tcPr>
            <w:tcW w:w="950" w:type="dxa"/>
            <w:tcBorders>
              <w:top w:val="nil"/>
              <w:left w:val="nil"/>
              <w:bottom w:val="single" w:sz="8" w:space="0" w:color="auto"/>
              <w:right w:val="single" w:sz="8" w:space="0" w:color="auto"/>
            </w:tcBorders>
            <w:shd w:val="clear" w:color="000000" w:fill="FFFFFF"/>
            <w:noWrap/>
            <w:vAlign w:val="center"/>
            <w:hideMark/>
          </w:tcPr>
          <w:p w14:paraId="6F73DE04"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-13,039</w:t>
            </w:r>
          </w:p>
        </w:tc>
        <w:tc>
          <w:tcPr>
            <w:tcW w:w="1106" w:type="dxa"/>
            <w:tcBorders>
              <w:top w:val="nil"/>
              <w:left w:val="nil"/>
              <w:bottom w:val="single" w:sz="8" w:space="0" w:color="auto"/>
              <w:right w:val="single" w:sz="8" w:space="0" w:color="auto"/>
            </w:tcBorders>
            <w:shd w:val="clear" w:color="000000" w:fill="FFFFFF"/>
            <w:vAlign w:val="center"/>
            <w:hideMark/>
          </w:tcPr>
          <w:p w14:paraId="4B1935C4"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 </w:t>
            </w:r>
          </w:p>
        </w:tc>
        <w:tc>
          <w:tcPr>
            <w:tcW w:w="998" w:type="dxa"/>
            <w:tcBorders>
              <w:top w:val="nil"/>
              <w:left w:val="nil"/>
              <w:bottom w:val="single" w:sz="8" w:space="0" w:color="auto"/>
              <w:right w:val="single" w:sz="8" w:space="0" w:color="auto"/>
            </w:tcBorders>
            <w:shd w:val="clear" w:color="auto" w:fill="auto"/>
            <w:vAlign w:val="center"/>
            <w:hideMark/>
          </w:tcPr>
          <w:p w14:paraId="213072DA"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1050" w:type="dxa"/>
            <w:tcBorders>
              <w:top w:val="nil"/>
              <w:left w:val="nil"/>
              <w:bottom w:val="single" w:sz="8" w:space="0" w:color="auto"/>
              <w:right w:val="single" w:sz="8" w:space="0" w:color="auto"/>
            </w:tcBorders>
            <w:shd w:val="clear" w:color="auto" w:fill="auto"/>
            <w:vAlign w:val="center"/>
            <w:hideMark/>
          </w:tcPr>
          <w:p w14:paraId="5AB2D615"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-13,039</w:t>
            </w:r>
          </w:p>
        </w:tc>
        <w:tc>
          <w:tcPr>
            <w:tcW w:w="1086" w:type="dxa"/>
            <w:tcBorders>
              <w:top w:val="nil"/>
              <w:left w:val="nil"/>
              <w:bottom w:val="single" w:sz="8" w:space="0" w:color="auto"/>
              <w:right w:val="single" w:sz="8" w:space="0" w:color="auto"/>
            </w:tcBorders>
            <w:shd w:val="clear" w:color="000000" w:fill="F2F2F2"/>
            <w:vAlign w:val="center"/>
            <w:hideMark/>
          </w:tcPr>
          <w:p w14:paraId="19CBC902"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-605</w:t>
            </w:r>
          </w:p>
        </w:tc>
      </w:tr>
      <w:tr w:rsidR="00072702" w:rsidRPr="00072702" w14:paraId="323353DF" w14:textId="77777777" w:rsidTr="00072702">
        <w:trPr>
          <w:trHeight w:val="287"/>
        </w:trPr>
        <w:tc>
          <w:tcPr>
            <w:tcW w:w="1464" w:type="dxa"/>
            <w:tcBorders>
              <w:top w:val="nil"/>
              <w:left w:val="single" w:sz="8" w:space="0" w:color="auto"/>
              <w:bottom w:val="nil"/>
              <w:right w:val="single" w:sz="8" w:space="0" w:color="auto"/>
            </w:tcBorders>
            <w:shd w:val="clear" w:color="auto" w:fill="auto"/>
            <w:vAlign w:val="center"/>
            <w:hideMark/>
          </w:tcPr>
          <w:p w14:paraId="0C919B42" w14:textId="77777777" w:rsidR="00072702" w:rsidRPr="00072702" w:rsidRDefault="00072702" w:rsidP="00072702">
            <w:pPr>
              <w:rPr>
                <w:rFonts w:cs="Arial"/>
                <w:color w:val="000000"/>
                <w:sz w:val="20"/>
                <w:lang w:eastAsia="en-GB"/>
              </w:rPr>
            </w:pPr>
            <w:r w:rsidRPr="00072702">
              <w:rPr>
                <w:rFonts w:cs="Arial"/>
                <w:color w:val="000000"/>
                <w:sz w:val="20"/>
                <w:lang w:eastAsia="en-GB"/>
              </w:rPr>
              <w:t> </w:t>
            </w:r>
          </w:p>
        </w:tc>
        <w:tc>
          <w:tcPr>
            <w:tcW w:w="3065" w:type="dxa"/>
            <w:tcBorders>
              <w:top w:val="nil"/>
              <w:left w:val="nil"/>
              <w:bottom w:val="single" w:sz="8" w:space="0" w:color="auto"/>
              <w:right w:val="single" w:sz="8" w:space="0" w:color="auto"/>
            </w:tcBorders>
            <w:shd w:val="clear" w:color="auto" w:fill="auto"/>
            <w:noWrap/>
            <w:vAlign w:val="center"/>
            <w:hideMark/>
          </w:tcPr>
          <w:p w14:paraId="48FDEE2B" w14:textId="77777777" w:rsidR="00072702" w:rsidRPr="00072702" w:rsidRDefault="00072702" w:rsidP="00072702">
            <w:pPr>
              <w:rPr>
                <w:rFonts w:cs="Arial"/>
                <w:color w:val="000000"/>
                <w:sz w:val="20"/>
                <w:lang w:eastAsia="en-GB"/>
              </w:rPr>
            </w:pPr>
            <w:r w:rsidRPr="00072702">
              <w:rPr>
                <w:rFonts w:cs="Arial"/>
                <w:color w:val="000000"/>
                <w:sz w:val="20"/>
                <w:lang w:eastAsia="en-GB"/>
              </w:rPr>
              <w:t>Purchasing</w:t>
            </w:r>
          </w:p>
        </w:tc>
        <w:tc>
          <w:tcPr>
            <w:tcW w:w="1055" w:type="dxa"/>
            <w:tcBorders>
              <w:top w:val="nil"/>
              <w:left w:val="nil"/>
              <w:bottom w:val="single" w:sz="8" w:space="0" w:color="auto"/>
              <w:right w:val="single" w:sz="8" w:space="0" w:color="auto"/>
            </w:tcBorders>
            <w:shd w:val="clear" w:color="000000" w:fill="FFFFFF"/>
            <w:noWrap/>
            <w:vAlign w:val="center"/>
            <w:hideMark/>
          </w:tcPr>
          <w:p w14:paraId="50A6D47E"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55,197</w:t>
            </w:r>
          </w:p>
        </w:tc>
        <w:tc>
          <w:tcPr>
            <w:tcW w:w="950" w:type="dxa"/>
            <w:tcBorders>
              <w:top w:val="nil"/>
              <w:left w:val="nil"/>
              <w:bottom w:val="single" w:sz="8" w:space="0" w:color="auto"/>
              <w:right w:val="single" w:sz="8" w:space="0" w:color="auto"/>
            </w:tcBorders>
            <w:shd w:val="clear" w:color="000000" w:fill="FFFFFF"/>
            <w:noWrap/>
            <w:vAlign w:val="center"/>
            <w:hideMark/>
          </w:tcPr>
          <w:p w14:paraId="2B32BCB1"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56,909</w:t>
            </w:r>
          </w:p>
        </w:tc>
        <w:tc>
          <w:tcPr>
            <w:tcW w:w="1106" w:type="dxa"/>
            <w:tcBorders>
              <w:top w:val="nil"/>
              <w:left w:val="nil"/>
              <w:bottom w:val="single" w:sz="8" w:space="0" w:color="auto"/>
              <w:right w:val="single" w:sz="8" w:space="0" w:color="auto"/>
            </w:tcBorders>
            <w:shd w:val="clear" w:color="000000" w:fill="FFFFFF"/>
            <w:vAlign w:val="center"/>
            <w:hideMark/>
          </w:tcPr>
          <w:p w14:paraId="547DA0C0"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998" w:type="dxa"/>
            <w:tcBorders>
              <w:top w:val="nil"/>
              <w:left w:val="nil"/>
              <w:bottom w:val="single" w:sz="8" w:space="0" w:color="auto"/>
              <w:right w:val="single" w:sz="8" w:space="0" w:color="auto"/>
            </w:tcBorders>
            <w:shd w:val="clear" w:color="auto" w:fill="auto"/>
            <w:vAlign w:val="center"/>
            <w:hideMark/>
          </w:tcPr>
          <w:p w14:paraId="728CC668"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1050" w:type="dxa"/>
            <w:tcBorders>
              <w:top w:val="nil"/>
              <w:left w:val="nil"/>
              <w:bottom w:val="single" w:sz="8" w:space="0" w:color="auto"/>
              <w:right w:val="single" w:sz="8" w:space="0" w:color="auto"/>
            </w:tcBorders>
            <w:shd w:val="clear" w:color="auto" w:fill="auto"/>
            <w:vAlign w:val="center"/>
            <w:hideMark/>
          </w:tcPr>
          <w:p w14:paraId="1DA469C3"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56,909</w:t>
            </w:r>
          </w:p>
        </w:tc>
        <w:tc>
          <w:tcPr>
            <w:tcW w:w="1086" w:type="dxa"/>
            <w:tcBorders>
              <w:top w:val="nil"/>
              <w:left w:val="nil"/>
              <w:bottom w:val="single" w:sz="8" w:space="0" w:color="auto"/>
              <w:right w:val="single" w:sz="8" w:space="0" w:color="auto"/>
            </w:tcBorders>
            <w:shd w:val="clear" w:color="000000" w:fill="F2F2F2"/>
            <w:vAlign w:val="center"/>
            <w:hideMark/>
          </w:tcPr>
          <w:p w14:paraId="477A198F"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1,712</w:t>
            </w:r>
          </w:p>
        </w:tc>
      </w:tr>
      <w:tr w:rsidR="00072702" w:rsidRPr="00072702" w14:paraId="0976070C" w14:textId="77777777" w:rsidTr="00072702">
        <w:trPr>
          <w:trHeight w:val="287"/>
        </w:trPr>
        <w:tc>
          <w:tcPr>
            <w:tcW w:w="1464" w:type="dxa"/>
            <w:tcBorders>
              <w:top w:val="nil"/>
              <w:left w:val="single" w:sz="8" w:space="0" w:color="auto"/>
              <w:bottom w:val="single" w:sz="8" w:space="0" w:color="auto"/>
              <w:right w:val="single" w:sz="8" w:space="0" w:color="auto"/>
            </w:tcBorders>
            <w:shd w:val="clear" w:color="auto" w:fill="auto"/>
            <w:vAlign w:val="center"/>
            <w:hideMark/>
          </w:tcPr>
          <w:p w14:paraId="76257271" w14:textId="77777777" w:rsidR="00072702" w:rsidRPr="00072702" w:rsidRDefault="00072702" w:rsidP="00072702">
            <w:pPr>
              <w:rPr>
                <w:rFonts w:cs="Arial"/>
                <w:color w:val="000000"/>
                <w:sz w:val="20"/>
                <w:lang w:eastAsia="en-GB"/>
              </w:rPr>
            </w:pPr>
            <w:r w:rsidRPr="00072702">
              <w:rPr>
                <w:rFonts w:cs="Arial"/>
                <w:color w:val="000000"/>
                <w:sz w:val="20"/>
                <w:lang w:eastAsia="en-GB"/>
              </w:rPr>
              <w:t> </w:t>
            </w:r>
          </w:p>
        </w:tc>
        <w:tc>
          <w:tcPr>
            <w:tcW w:w="3065" w:type="dxa"/>
            <w:tcBorders>
              <w:top w:val="nil"/>
              <w:left w:val="nil"/>
              <w:bottom w:val="single" w:sz="8" w:space="0" w:color="auto"/>
              <w:right w:val="single" w:sz="8" w:space="0" w:color="auto"/>
            </w:tcBorders>
            <w:shd w:val="clear" w:color="auto" w:fill="auto"/>
            <w:noWrap/>
            <w:vAlign w:val="center"/>
            <w:hideMark/>
          </w:tcPr>
          <w:p w14:paraId="15A4507D" w14:textId="77777777" w:rsidR="00072702" w:rsidRPr="00072702" w:rsidRDefault="00072702" w:rsidP="00072702">
            <w:pPr>
              <w:rPr>
                <w:rFonts w:cs="Arial"/>
                <w:color w:val="000000"/>
                <w:sz w:val="20"/>
                <w:lang w:eastAsia="en-GB"/>
              </w:rPr>
            </w:pPr>
            <w:r w:rsidRPr="00072702">
              <w:rPr>
                <w:rFonts w:cs="Arial"/>
                <w:color w:val="000000"/>
                <w:sz w:val="20"/>
                <w:lang w:eastAsia="en-GB"/>
              </w:rPr>
              <w:t>In House Services</w:t>
            </w:r>
          </w:p>
        </w:tc>
        <w:tc>
          <w:tcPr>
            <w:tcW w:w="1055" w:type="dxa"/>
            <w:tcBorders>
              <w:top w:val="nil"/>
              <w:left w:val="nil"/>
              <w:bottom w:val="single" w:sz="8" w:space="0" w:color="auto"/>
              <w:right w:val="single" w:sz="8" w:space="0" w:color="auto"/>
            </w:tcBorders>
            <w:shd w:val="clear" w:color="000000" w:fill="FFFFFF"/>
            <w:noWrap/>
            <w:vAlign w:val="center"/>
            <w:hideMark/>
          </w:tcPr>
          <w:p w14:paraId="5BB09391"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5,830</w:t>
            </w:r>
          </w:p>
        </w:tc>
        <w:tc>
          <w:tcPr>
            <w:tcW w:w="950" w:type="dxa"/>
            <w:tcBorders>
              <w:top w:val="nil"/>
              <w:left w:val="nil"/>
              <w:bottom w:val="single" w:sz="8" w:space="0" w:color="auto"/>
              <w:right w:val="single" w:sz="8" w:space="0" w:color="auto"/>
            </w:tcBorders>
            <w:shd w:val="clear" w:color="000000" w:fill="FFFFFF"/>
            <w:noWrap/>
            <w:vAlign w:val="center"/>
            <w:hideMark/>
          </w:tcPr>
          <w:p w14:paraId="2019F872"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5,094</w:t>
            </w:r>
          </w:p>
        </w:tc>
        <w:tc>
          <w:tcPr>
            <w:tcW w:w="1106" w:type="dxa"/>
            <w:tcBorders>
              <w:top w:val="nil"/>
              <w:left w:val="nil"/>
              <w:bottom w:val="single" w:sz="8" w:space="0" w:color="auto"/>
              <w:right w:val="single" w:sz="8" w:space="0" w:color="auto"/>
            </w:tcBorders>
            <w:shd w:val="clear" w:color="000000" w:fill="FFFFFF"/>
            <w:vAlign w:val="center"/>
            <w:hideMark/>
          </w:tcPr>
          <w:p w14:paraId="1F5CEDEE"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998" w:type="dxa"/>
            <w:tcBorders>
              <w:top w:val="nil"/>
              <w:left w:val="nil"/>
              <w:bottom w:val="single" w:sz="8" w:space="0" w:color="auto"/>
              <w:right w:val="single" w:sz="8" w:space="0" w:color="auto"/>
            </w:tcBorders>
            <w:shd w:val="clear" w:color="auto" w:fill="auto"/>
            <w:vAlign w:val="center"/>
            <w:hideMark/>
          </w:tcPr>
          <w:p w14:paraId="4B2085FF"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1050" w:type="dxa"/>
            <w:tcBorders>
              <w:top w:val="nil"/>
              <w:left w:val="nil"/>
              <w:bottom w:val="single" w:sz="8" w:space="0" w:color="auto"/>
              <w:right w:val="single" w:sz="8" w:space="0" w:color="auto"/>
            </w:tcBorders>
            <w:shd w:val="clear" w:color="auto" w:fill="auto"/>
            <w:vAlign w:val="center"/>
            <w:hideMark/>
          </w:tcPr>
          <w:p w14:paraId="39C16CDE"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5,094</w:t>
            </w:r>
          </w:p>
        </w:tc>
        <w:tc>
          <w:tcPr>
            <w:tcW w:w="1086" w:type="dxa"/>
            <w:tcBorders>
              <w:top w:val="nil"/>
              <w:left w:val="nil"/>
              <w:bottom w:val="single" w:sz="8" w:space="0" w:color="auto"/>
              <w:right w:val="single" w:sz="8" w:space="0" w:color="auto"/>
            </w:tcBorders>
            <w:shd w:val="clear" w:color="000000" w:fill="F2F2F2"/>
            <w:vAlign w:val="center"/>
            <w:hideMark/>
          </w:tcPr>
          <w:p w14:paraId="4C7A4356"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-736</w:t>
            </w:r>
          </w:p>
        </w:tc>
      </w:tr>
      <w:tr w:rsidR="00072702" w:rsidRPr="00072702" w14:paraId="7967ECCE" w14:textId="77777777" w:rsidTr="00072702">
        <w:trPr>
          <w:trHeight w:val="287"/>
        </w:trPr>
        <w:tc>
          <w:tcPr>
            <w:tcW w:w="45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F911CF" w14:textId="77777777" w:rsidR="00072702" w:rsidRPr="00072702" w:rsidRDefault="00072702" w:rsidP="00072702">
            <w:pPr>
              <w:rPr>
                <w:rFonts w:cs="Arial"/>
                <w:b/>
                <w:bCs/>
                <w:color w:val="000000"/>
                <w:sz w:val="20"/>
                <w:lang w:eastAsia="en-GB"/>
              </w:rPr>
            </w:pPr>
            <w:r w:rsidRPr="00072702">
              <w:rPr>
                <w:rFonts w:cs="Arial"/>
                <w:b/>
                <w:bCs/>
                <w:color w:val="000000"/>
                <w:sz w:val="20"/>
                <w:lang w:eastAsia="en-GB"/>
              </w:rPr>
              <w:t>Adults Total</w:t>
            </w:r>
          </w:p>
        </w:tc>
        <w:tc>
          <w:tcPr>
            <w:tcW w:w="1055" w:type="dxa"/>
            <w:tcBorders>
              <w:top w:val="nil"/>
              <w:left w:val="nil"/>
              <w:bottom w:val="single" w:sz="8" w:space="0" w:color="auto"/>
              <w:right w:val="single" w:sz="8" w:space="0" w:color="auto"/>
            </w:tcBorders>
            <w:shd w:val="clear" w:color="000000" w:fill="FFFFFF"/>
            <w:noWrap/>
            <w:vAlign w:val="center"/>
            <w:hideMark/>
          </w:tcPr>
          <w:p w14:paraId="612CD963"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68,413</w:t>
            </w:r>
          </w:p>
        </w:tc>
        <w:tc>
          <w:tcPr>
            <w:tcW w:w="950" w:type="dxa"/>
            <w:tcBorders>
              <w:top w:val="nil"/>
              <w:left w:val="nil"/>
              <w:bottom w:val="single" w:sz="8" w:space="0" w:color="auto"/>
              <w:right w:val="single" w:sz="8" w:space="0" w:color="auto"/>
            </w:tcBorders>
            <w:shd w:val="clear" w:color="000000" w:fill="FFFFFF"/>
            <w:noWrap/>
            <w:vAlign w:val="center"/>
            <w:hideMark/>
          </w:tcPr>
          <w:p w14:paraId="109C84BB"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68,400</w:t>
            </w:r>
          </w:p>
        </w:tc>
        <w:tc>
          <w:tcPr>
            <w:tcW w:w="1106" w:type="dxa"/>
            <w:tcBorders>
              <w:top w:val="nil"/>
              <w:left w:val="nil"/>
              <w:bottom w:val="single" w:sz="8" w:space="0" w:color="auto"/>
              <w:right w:val="single" w:sz="8" w:space="0" w:color="auto"/>
            </w:tcBorders>
            <w:shd w:val="clear" w:color="000000" w:fill="FFFFFF"/>
            <w:noWrap/>
            <w:vAlign w:val="center"/>
            <w:hideMark/>
          </w:tcPr>
          <w:p w14:paraId="5F9CC4A3"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130</w:t>
            </w:r>
          </w:p>
        </w:tc>
        <w:tc>
          <w:tcPr>
            <w:tcW w:w="998" w:type="dxa"/>
            <w:tcBorders>
              <w:top w:val="nil"/>
              <w:left w:val="nil"/>
              <w:bottom w:val="single" w:sz="8" w:space="0" w:color="auto"/>
              <w:right w:val="single" w:sz="8" w:space="0" w:color="auto"/>
            </w:tcBorders>
            <w:shd w:val="clear" w:color="000000" w:fill="FFFFFF"/>
            <w:noWrap/>
            <w:vAlign w:val="center"/>
            <w:hideMark/>
          </w:tcPr>
          <w:p w14:paraId="1C307EBA"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0</w:t>
            </w:r>
          </w:p>
        </w:tc>
        <w:tc>
          <w:tcPr>
            <w:tcW w:w="1050" w:type="dxa"/>
            <w:tcBorders>
              <w:top w:val="nil"/>
              <w:left w:val="nil"/>
              <w:bottom w:val="single" w:sz="8" w:space="0" w:color="auto"/>
              <w:right w:val="single" w:sz="8" w:space="0" w:color="auto"/>
            </w:tcBorders>
            <w:shd w:val="clear" w:color="000000" w:fill="FFFFFF"/>
            <w:noWrap/>
            <w:vAlign w:val="center"/>
            <w:hideMark/>
          </w:tcPr>
          <w:p w14:paraId="0B7A736D"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68,530</w:t>
            </w:r>
          </w:p>
        </w:tc>
        <w:tc>
          <w:tcPr>
            <w:tcW w:w="1086" w:type="dxa"/>
            <w:tcBorders>
              <w:top w:val="nil"/>
              <w:left w:val="nil"/>
              <w:bottom w:val="single" w:sz="8" w:space="0" w:color="auto"/>
              <w:right w:val="single" w:sz="8" w:space="0" w:color="auto"/>
            </w:tcBorders>
            <w:shd w:val="clear" w:color="000000" w:fill="FFFFFF"/>
            <w:noWrap/>
            <w:vAlign w:val="center"/>
            <w:hideMark/>
          </w:tcPr>
          <w:p w14:paraId="73AAC581"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117</w:t>
            </w:r>
          </w:p>
        </w:tc>
      </w:tr>
      <w:tr w:rsidR="00072702" w:rsidRPr="00072702" w14:paraId="5DA1387C" w14:textId="77777777" w:rsidTr="00072702">
        <w:trPr>
          <w:trHeight w:val="241"/>
        </w:trPr>
        <w:tc>
          <w:tcPr>
            <w:tcW w:w="4529" w:type="dxa"/>
            <w:gridSpan w:val="2"/>
            <w:tcBorders>
              <w:top w:val="nil"/>
              <w:left w:val="single" w:sz="8" w:space="0" w:color="auto"/>
              <w:bottom w:val="single" w:sz="8" w:space="0" w:color="auto"/>
              <w:right w:val="single" w:sz="8" w:space="0" w:color="auto"/>
            </w:tcBorders>
            <w:shd w:val="clear" w:color="auto" w:fill="auto"/>
            <w:vAlign w:val="center"/>
            <w:hideMark/>
          </w:tcPr>
          <w:p w14:paraId="1DB5D754" w14:textId="48AE6983" w:rsidR="00072702" w:rsidRPr="00072702" w:rsidRDefault="00072702" w:rsidP="00072702">
            <w:pPr>
              <w:rPr>
                <w:rFonts w:cs="Arial"/>
                <w:b/>
                <w:bCs/>
                <w:color w:val="000000"/>
                <w:sz w:val="20"/>
                <w:lang w:eastAsia="en-GB"/>
              </w:rPr>
            </w:pPr>
            <w:r w:rsidRPr="00072702">
              <w:rPr>
                <w:rFonts w:cs="Arial"/>
                <w:b/>
                <w:bCs/>
                <w:color w:val="000000"/>
                <w:sz w:val="20"/>
                <w:lang w:eastAsia="en-GB"/>
              </w:rPr>
              <w:t>Public Health Total</w:t>
            </w:r>
          </w:p>
        </w:tc>
        <w:tc>
          <w:tcPr>
            <w:tcW w:w="1055" w:type="dxa"/>
            <w:tcBorders>
              <w:top w:val="nil"/>
              <w:left w:val="nil"/>
              <w:bottom w:val="single" w:sz="8" w:space="0" w:color="auto"/>
              <w:right w:val="single" w:sz="8" w:space="0" w:color="auto"/>
            </w:tcBorders>
            <w:shd w:val="clear" w:color="000000" w:fill="FFFFFF"/>
            <w:noWrap/>
            <w:vAlign w:val="center"/>
            <w:hideMark/>
          </w:tcPr>
          <w:p w14:paraId="64127DF1"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-163</w:t>
            </w:r>
          </w:p>
        </w:tc>
        <w:tc>
          <w:tcPr>
            <w:tcW w:w="950" w:type="dxa"/>
            <w:tcBorders>
              <w:top w:val="nil"/>
              <w:left w:val="nil"/>
              <w:bottom w:val="single" w:sz="8" w:space="0" w:color="auto"/>
              <w:right w:val="single" w:sz="8" w:space="0" w:color="auto"/>
            </w:tcBorders>
            <w:shd w:val="clear" w:color="000000" w:fill="FFFFFF"/>
            <w:noWrap/>
            <w:vAlign w:val="center"/>
            <w:hideMark/>
          </w:tcPr>
          <w:p w14:paraId="34766AE1"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-317</w:t>
            </w:r>
          </w:p>
        </w:tc>
        <w:tc>
          <w:tcPr>
            <w:tcW w:w="1106" w:type="dxa"/>
            <w:tcBorders>
              <w:top w:val="nil"/>
              <w:left w:val="nil"/>
              <w:bottom w:val="single" w:sz="8" w:space="0" w:color="auto"/>
              <w:right w:val="single" w:sz="8" w:space="0" w:color="auto"/>
            </w:tcBorders>
            <w:shd w:val="clear" w:color="000000" w:fill="FFFFFF"/>
            <w:vAlign w:val="center"/>
            <w:hideMark/>
          </w:tcPr>
          <w:p w14:paraId="3DEF1BE5"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154</w:t>
            </w:r>
          </w:p>
        </w:tc>
        <w:tc>
          <w:tcPr>
            <w:tcW w:w="998" w:type="dxa"/>
            <w:tcBorders>
              <w:top w:val="nil"/>
              <w:left w:val="nil"/>
              <w:bottom w:val="single" w:sz="8" w:space="0" w:color="auto"/>
              <w:right w:val="single" w:sz="8" w:space="0" w:color="auto"/>
            </w:tcBorders>
            <w:shd w:val="clear" w:color="000000" w:fill="FFFFFF"/>
            <w:vAlign w:val="center"/>
            <w:hideMark/>
          </w:tcPr>
          <w:p w14:paraId="190DF816"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0</w:t>
            </w:r>
          </w:p>
        </w:tc>
        <w:tc>
          <w:tcPr>
            <w:tcW w:w="1050" w:type="dxa"/>
            <w:tcBorders>
              <w:top w:val="nil"/>
              <w:left w:val="nil"/>
              <w:bottom w:val="single" w:sz="8" w:space="0" w:color="auto"/>
              <w:right w:val="single" w:sz="8" w:space="0" w:color="auto"/>
            </w:tcBorders>
            <w:shd w:val="clear" w:color="auto" w:fill="auto"/>
            <w:vAlign w:val="center"/>
            <w:hideMark/>
          </w:tcPr>
          <w:p w14:paraId="47F319F1"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-163</w:t>
            </w:r>
          </w:p>
        </w:tc>
        <w:tc>
          <w:tcPr>
            <w:tcW w:w="1086" w:type="dxa"/>
            <w:tcBorders>
              <w:top w:val="nil"/>
              <w:left w:val="nil"/>
              <w:bottom w:val="single" w:sz="8" w:space="0" w:color="auto"/>
              <w:right w:val="single" w:sz="8" w:space="0" w:color="auto"/>
            </w:tcBorders>
            <w:shd w:val="clear" w:color="000000" w:fill="F2F2F2"/>
            <w:vAlign w:val="center"/>
            <w:hideMark/>
          </w:tcPr>
          <w:p w14:paraId="543703FF"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0</w:t>
            </w:r>
          </w:p>
        </w:tc>
      </w:tr>
      <w:tr w:rsidR="00072702" w:rsidRPr="00072702" w14:paraId="21499E13" w14:textId="77777777" w:rsidTr="00072702">
        <w:trPr>
          <w:trHeight w:val="287"/>
        </w:trPr>
        <w:tc>
          <w:tcPr>
            <w:tcW w:w="1464" w:type="dxa"/>
            <w:vMerge w:val="restart"/>
            <w:tcBorders>
              <w:top w:val="nil"/>
              <w:left w:val="single" w:sz="8" w:space="0" w:color="auto"/>
              <w:bottom w:val="single" w:sz="8" w:space="0" w:color="000000"/>
              <w:right w:val="single" w:sz="8" w:space="0" w:color="auto"/>
            </w:tcBorders>
            <w:shd w:val="clear" w:color="auto" w:fill="auto"/>
            <w:vAlign w:val="center"/>
            <w:hideMark/>
          </w:tcPr>
          <w:p w14:paraId="0D00C7A3" w14:textId="77777777" w:rsidR="00072702" w:rsidRPr="00072702" w:rsidRDefault="00072702" w:rsidP="00072702">
            <w:pPr>
              <w:rPr>
                <w:rFonts w:cs="Arial"/>
                <w:color w:val="000000"/>
                <w:sz w:val="20"/>
                <w:lang w:eastAsia="en-GB"/>
              </w:rPr>
            </w:pPr>
            <w:r w:rsidRPr="00072702">
              <w:rPr>
                <w:rFonts w:cs="Arial"/>
                <w:color w:val="000000"/>
                <w:sz w:val="20"/>
                <w:lang w:eastAsia="en-GB"/>
              </w:rPr>
              <w:t>Children’s Services</w:t>
            </w:r>
          </w:p>
        </w:tc>
        <w:tc>
          <w:tcPr>
            <w:tcW w:w="3065" w:type="dxa"/>
            <w:tcBorders>
              <w:top w:val="nil"/>
              <w:left w:val="nil"/>
              <w:bottom w:val="single" w:sz="8" w:space="0" w:color="auto"/>
              <w:right w:val="single" w:sz="8" w:space="0" w:color="auto"/>
            </w:tcBorders>
            <w:shd w:val="clear" w:color="auto" w:fill="auto"/>
            <w:noWrap/>
            <w:vAlign w:val="center"/>
            <w:hideMark/>
          </w:tcPr>
          <w:p w14:paraId="71F782D7" w14:textId="6612B003" w:rsidR="00072702" w:rsidRPr="00072702" w:rsidRDefault="00072702" w:rsidP="00072702">
            <w:pPr>
              <w:rPr>
                <w:rFonts w:cs="Arial"/>
                <w:color w:val="000000"/>
                <w:sz w:val="20"/>
                <w:lang w:eastAsia="en-GB"/>
              </w:rPr>
            </w:pPr>
            <w:r w:rsidRPr="00072702">
              <w:rPr>
                <w:rFonts w:cs="Arial"/>
                <w:color w:val="000000"/>
                <w:sz w:val="20"/>
                <w:lang w:eastAsia="en-GB"/>
              </w:rPr>
              <w:t xml:space="preserve">Children &amp; Young People </w:t>
            </w:r>
          </w:p>
        </w:tc>
        <w:tc>
          <w:tcPr>
            <w:tcW w:w="1055" w:type="dxa"/>
            <w:tcBorders>
              <w:top w:val="nil"/>
              <w:left w:val="nil"/>
              <w:bottom w:val="single" w:sz="8" w:space="0" w:color="auto"/>
              <w:right w:val="single" w:sz="8" w:space="0" w:color="auto"/>
            </w:tcBorders>
            <w:shd w:val="clear" w:color="000000" w:fill="FFFFFF"/>
            <w:noWrap/>
            <w:vAlign w:val="center"/>
            <w:hideMark/>
          </w:tcPr>
          <w:p w14:paraId="3F636F03"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27,646</w:t>
            </w:r>
          </w:p>
        </w:tc>
        <w:tc>
          <w:tcPr>
            <w:tcW w:w="950" w:type="dxa"/>
            <w:tcBorders>
              <w:top w:val="nil"/>
              <w:left w:val="nil"/>
              <w:bottom w:val="single" w:sz="8" w:space="0" w:color="auto"/>
              <w:right w:val="single" w:sz="8" w:space="0" w:color="auto"/>
            </w:tcBorders>
            <w:shd w:val="clear" w:color="000000" w:fill="FFFFFF"/>
            <w:noWrap/>
            <w:vAlign w:val="center"/>
            <w:hideMark/>
          </w:tcPr>
          <w:p w14:paraId="64A69822"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27,974</w:t>
            </w:r>
          </w:p>
        </w:tc>
        <w:tc>
          <w:tcPr>
            <w:tcW w:w="1106" w:type="dxa"/>
            <w:tcBorders>
              <w:top w:val="nil"/>
              <w:left w:val="nil"/>
              <w:bottom w:val="single" w:sz="8" w:space="0" w:color="auto"/>
              <w:right w:val="single" w:sz="8" w:space="0" w:color="auto"/>
            </w:tcBorders>
            <w:shd w:val="clear" w:color="000000" w:fill="FFFFFF"/>
            <w:vAlign w:val="center"/>
            <w:hideMark/>
          </w:tcPr>
          <w:p w14:paraId="66274C95"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-139</w:t>
            </w:r>
          </w:p>
        </w:tc>
        <w:tc>
          <w:tcPr>
            <w:tcW w:w="998" w:type="dxa"/>
            <w:tcBorders>
              <w:top w:val="nil"/>
              <w:left w:val="nil"/>
              <w:bottom w:val="single" w:sz="8" w:space="0" w:color="auto"/>
              <w:right w:val="single" w:sz="8" w:space="0" w:color="auto"/>
            </w:tcBorders>
            <w:shd w:val="clear" w:color="000000" w:fill="FFFFFF"/>
            <w:vAlign w:val="center"/>
            <w:hideMark/>
          </w:tcPr>
          <w:p w14:paraId="0CB1D01E"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400</w:t>
            </w:r>
          </w:p>
        </w:tc>
        <w:tc>
          <w:tcPr>
            <w:tcW w:w="1050" w:type="dxa"/>
            <w:tcBorders>
              <w:top w:val="nil"/>
              <w:left w:val="nil"/>
              <w:bottom w:val="single" w:sz="8" w:space="0" w:color="auto"/>
              <w:right w:val="single" w:sz="8" w:space="0" w:color="auto"/>
            </w:tcBorders>
            <w:shd w:val="clear" w:color="auto" w:fill="auto"/>
            <w:vAlign w:val="center"/>
            <w:hideMark/>
          </w:tcPr>
          <w:p w14:paraId="1C89B62A"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28,235</w:t>
            </w:r>
          </w:p>
        </w:tc>
        <w:tc>
          <w:tcPr>
            <w:tcW w:w="1086" w:type="dxa"/>
            <w:tcBorders>
              <w:top w:val="nil"/>
              <w:left w:val="nil"/>
              <w:bottom w:val="single" w:sz="8" w:space="0" w:color="auto"/>
              <w:right w:val="single" w:sz="8" w:space="0" w:color="auto"/>
            </w:tcBorders>
            <w:shd w:val="clear" w:color="000000" w:fill="F2F2F2"/>
            <w:vAlign w:val="center"/>
            <w:hideMark/>
          </w:tcPr>
          <w:p w14:paraId="6A1E23A0"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589</w:t>
            </w:r>
          </w:p>
        </w:tc>
      </w:tr>
      <w:tr w:rsidR="00072702" w:rsidRPr="00072702" w14:paraId="58B337AC" w14:textId="77777777" w:rsidTr="00072702">
        <w:trPr>
          <w:trHeight w:val="287"/>
        </w:trPr>
        <w:tc>
          <w:tcPr>
            <w:tcW w:w="1464" w:type="dxa"/>
            <w:vMerge/>
            <w:tcBorders>
              <w:top w:val="nil"/>
              <w:left w:val="single" w:sz="8" w:space="0" w:color="auto"/>
              <w:bottom w:val="single" w:sz="8" w:space="0" w:color="000000"/>
              <w:right w:val="single" w:sz="8" w:space="0" w:color="auto"/>
            </w:tcBorders>
            <w:vAlign w:val="center"/>
            <w:hideMark/>
          </w:tcPr>
          <w:p w14:paraId="2041F66D" w14:textId="77777777" w:rsidR="00072702" w:rsidRPr="00072702" w:rsidRDefault="00072702" w:rsidP="00072702">
            <w:pPr>
              <w:rPr>
                <w:rFonts w:cs="Arial"/>
                <w:color w:val="000000"/>
                <w:sz w:val="20"/>
                <w:lang w:eastAsia="en-GB"/>
              </w:rPr>
            </w:pPr>
          </w:p>
        </w:tc>
        <w:tc>
          <w:tcPr>
            <w:tcW w:w="3065" w:type="dxa"/>
            <w:tcBorders>
              <w:top w:val="nil"/>
              <w:left w:val="nil"/>
              <w:bottom w:val="single" w:sz="8" w:space="0" w:color="auto"/>
              <w:right w:val="single" w:sz="8" w:space="0" w:color="auto"/>
            </w:tcBorders>
            <w:shd w:val="clear" w:color="auto" w:fill="auto"/>
            <w:noWrap/>
            <w:vAlign w:val="center"/>
            <w:hideMark/>
          </w:tcPr>
          <w:p w14:paraId="1D977DEE" w14:textId="77777777" w:rsidR="00072702" w:rsidRPr="00072702" w:rsidRDefault="00072702" w:rsidP="00072702">
            <w:pPr>
              <w:rPr>
                <w:rFonts w:cs="Arial"/>
                <w:color w:val="000000"/>
                <w:sz w:val="20"/>
                <w:lang w:eastAsia="en-GB"/>
              </w:rPr>
            </w:pPr>
            <w:r w:rsidRPr="00072702">
              <w:rPr>
                <w:rFonts w:cs="Arial"/>
                <w:color w:val="000000"/>
                <w:sz w:val="20"/>
                <w:lang w:eastAsia="en-GB"/>
              </w:rPr>
              <w:t>Education Services</w:t>
            </w:r>
          </w:p>
        </w:tc>
        <w:tc>
          <w:tcPr>
            <w:tcW w:w="1055" w:type="dxa"/>
            <w:tcBorders>
              <w:top w:val="nil"/>
              <w:left w:val="nil"/>
              <w:bottom w:val="single" w:sz="8" w:space="0" w:color="auto"/>
              <w:right w:val="single" w:sz="8" w:space="0" w:color="auto"/>
            </w:tcBorders>
            <w:shd w:val="clear" w:color="000000" w:fill="FFFFFF"/>
            <w:noWrap/>
            <w:vAlign w:val="center"/>
            <w:hideMark/>
          </w:tcPr>
          <w:p w14:paraId="57C6CE21"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9,520</w:t>
            </w:r>
          </w:p>
        </w:tc>
        <w:tc>
          <w:tcPr>
            <w:tcW w:w="950" w:type="dxa"/>
            <w:tcBorders>
              <w:top w:val="nil"/>
              <w:left w:val="nil"/>
              <w:bottom w:val="single" w:sz="8" w:space="0" w:color="auto"/>
              <w:right w:val="single" w:sz="8" w:space="0" w:color="auto"/>
            </w:tcBorders>
            <w:shd w:val="clear" w:color="000000" w:fill="FFFFFF"/>
            <w:noWrap/>
            <w:vAlign w:val="center"/>
            <w:hideMark/>
          </w:tcPr>
          <w:p w14:paraId="00DEAA73"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7,335</w:t>
            </w:r>
          </w:p>
        </w:tc>
        <w:tc>
          <w:tcPr>
            <w:tcW w:w="1106" w:type="dxa"/>
            <w:tcBorders>
              <w:top w:val="nil"/>
              <w:left w:val="nil"/>
              <w:bottom w:val="single" w:sz="8" w:space="0" w:color="auto"/>
              <w:right w:val="single" w:sz="8" w:space="0" w:color="auto"/>
            </w:tcBorders>
            <w:shd w:val="clear" w:color="000000" w:fill="FFFFFF"/>
            <w:noWrap/>
            <w:vAlign w:val="center"/>
            <w:hideMark/>
          </w:tcPr>
          <w:p w14:paraId="793DA4D0"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1,553</w:t>
            </w:r>
          </w:p>
        </w:tc>
        <w:tc>
          <w:tcPr>
            <w:tcW w:w="998" w:type="dxa"/>
            <w:tcBorders>
              <w:top w:val="nil"/>
              <w:left w:val="nil"/>
              <w:bottom w:val="single" w:sz="8" w:space="0" w:color="auto"/>
              <w:right w:val="single" w:sz="8" w:space="0" w:color="auto"/>
            </w:tcBorders>
            <w:shd w:val="clear" w:color="000000" w:fill="FFFFFF"/>
            <w:noWrap/>
            <w:vAlign w:val="center"/>
            <w:hideMark/>
          </w:tcPr>
          <w:p w14:paraId="4CE8B1C1"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1050" w:type="dxa"/>
            <w:tcBorders>
              <w:top w:val="nil"/>
              <w:left w:val="nil"/>
              <w:bottom w:val="single" w:sz="8" w:space="0" w:color="auto"/>
              <w:right w:val="single" w:sz="8" w:space="0" w:color="auto"/>
            </w:tcBorders>
            <w:shd w:val="clear" w:color="000000" w:fill="FFFFFF"/>
            <w:noWrap/>
            <w:vAlign w:val="center"/>
            <w:hideMark/>
          </w:tcPr>
          <w:p w14:paraId="15F8179A"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8,888</w:t>
            </w:r>
          </w:p>
        </w:tc>
        <w:tc>
          <w:tcPr>
            <w:tcW w:w="1086" w:type="dxa"/>
            <w:tcBorders>
              <w:top w:val="nil"/>
              <w:left w:val="nil"/>
              <w:bottom w:val="single" w:sz="8" w:space="0" w:color="auto"/>
              <w:right w:val="single" w:sz="8" w:space="0" w:color="auto"/>
            </w:tcBorders>
            <w:shd w:val="clear" w:color="000000" w:fill="FFFFFF"/>
            <w:noWrap/>
            <w:vAlign w:val="center"/>
            <w:hideMark/>
          </w:tcPr>
          <w:p w14:paraId="69AE244B"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-632</w:t>
            </w:r>
          </w:p>
        </w:tc>
      </w:tr>
      <w:tr w:rsidR="00072702" w:rsidRPr="00072702" w14:paraId="7640AEA4" w14:textId="77777777" w:rsidTr="00072702">
        <w:trPr>
          <w:trHeight w:val="287"/>
        </w:trPr>
        <w:tc>
          <w:tcPr>
            <w:tcW w:w="1464" w:type="dxa"/>
            <w:vMerge/>
            <w:tcBorders>
              <w:top w:val="nil"/>
              <w:left w:val="single" w:sz="8" w:space="0" w:color="auto"/>
              <w:bottom w:val="single" w:sz="8" w:space="0" w:color="000000"/>
              <w:right w:val="single" w:sz="8" w:space="0" w:color="auto"/>
            </w:tcBorders>
            <w:vAlign w:val="center"/>
            <w:hideMark/>
          </w:tcPr>
          <w:p w14:paraId="6E6BA6EF" w14:textId="77777777" w:rsidR="00072702" w:rsidRPr="00072702" w:rsidRDefault="00072702" w:rsidP="00072702">
            <w:pPr>
              <w:rPr>
                <w:rFonts w:cs="Arial"/>
                <w:color w:val="000000"/>
                <w:sz w:val="20"/>
                <w:lang w:eastAsia="en-GB"/>
              </w:rPr>
            </w:pPr>
          </w:p>
        </w:tc>
        <w:tc>
          <w:tcPr>
            <w:tcW w:w="3065" w:type="dxa"/>
            <w:tcBorders>
              <w:top w:val="nil"/>
              <w:left w:val="nil"/>
              <w:bottom w:val="single" w:sz="8" w:space="0" w:color="auto"/>
              <w:right w:val="single" w:sz="8" w:space="0" w:color="auto"/>
            </w:tcBorders>
            <w:shd w:val="clear" w:color="auto" w:fill="auto"/>
            <w:noWrap/>
            <w:vAlign w:val="center"/>
            <w:hideMark/>
          </w:tcPr>
          <w:p w14:paraId="32F01CC8" w14:textId="77777777" w:rsidR="00072702" w:rsidRPr="00072702" w:rsidRDefault="00072702" w:rsidP="00072702">
            <w:pPr>
              <w:rPr>
                <w:rFonts w:cs="Arial"/>
                <w:color w:val="000000"/>
                <w:sz w:val="20"/>
                <w:lang w:eastAsia="en-GB"/>
              </w:rPr>
            </w:pPr>
            <w:r w:rsidRPr="00072702">
              <w:rPr>
                <w:rFonts w:cs="Arial"/>
                <w:color w:val="000000"/>
                <w:sz w:val="20"/>
                <w:lang w:eastAsia="en-GB"/>
              </w:rPr>
              <w:t xml:space="preserve">People Services </w:t>
            </w:r>
            <w:proofErr w:type="spellStart"/>
            <w:r w:rsidRPr="00072702">
              <w:rPr>
                <w:rFonts w:cs="Arial"/>
                <w:color w:val="000000"/>
                <w:sz w:val="20"/>
                <w:lang w:eastAsia="en-GB"/>
              </w:rPr>
              <w:t>Mgt</w:t>
            </w:r>
            <w:proofErr w:type="spellEnd"/>
          </w:p>
        </w:tc>
        <w:tc>
          <w:tcPr>
            <w:tcW w:w="1055" w:type="dxa"/>
            <w:tcBorders>
              <w:top w:val="nil"/>
              <w:left w:val="nil"/>
              <w:bottom w:val="single" w:sz="8" w:space="0" w:color="auto"/>
              <w:right w:val="single" w:sz="8" w:space="0" w:color="auto"/>
            </w:tcBorders>
            <w:shd w:val="clear" w:color="000000" w:fill="FFFFFF"/>
            <w:noWrap/>
            <w:vAlign w:val="center"/>
            <w:hideMark/>
          </w:tcPr>
          <w:p w14:paraId="408CE52B"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1,557</w:t>
            </w:r>
          </w:p>
        </w:tc>
        <w:tc>
          <w:tcPr>
            <w:tcW w:w="950" w:type="dxa"/>
            <w:tcBorders>
              <w:top w:val="nil"/>
              <w:left w:val="nil"/>
              <w:bottom w:val="single" w:sz="8" w:space="0" w:color="auto"/>
              <w:right w:val="single" w:sz="8" w:space="0" w:color="auto"/>
            </w:tcBorders>
            <w:shd w:val="clear" w:color="000000" w:fill="FFFFFF"/>
            <w:noWrap/>
            <w:vAlign w:val="center"/>
            <w:hideMark/>
          </w:tcPr>
          <w:p w14:paraId="78408B85"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1,600</w:t>
            </w:r>
          </w:p>
        </w:tc>
        <w:tc>
          <w:tcPr>
            <w:tcW w:w="1106" w:type="dxa"/>
            <w:tcBorders>
              <w:top w:val="nil"/>
              <w:left w:val="nil"/>
              <w:bottom w:val="single" w:sz="8" w:space="0" w:color="auto"/>
              <w:right w:val="single" w:sz="8" w:space="0" w:color="auto"/>
            </w:tcBorders>
            <w:shd w:val="clear" w:color="000000" w:fill="FFFFFF"/>
            <w:noWrap/>
            <w:vAlign w:val="center"/>
            <w:hideMark/>
          </w:tcPr>
          <w:p w14:paraId="5F35528B"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998" w:type="dxa"/>
            <w:tcBorders>
              <w:top w:val="nil"/>
              <w:left w:val="nil"/>
              <w:bottom w:val="single" w:sz="8" w:space="0" w:color="auto"/>
              <w:right w:val="single" w:sz="8" w:space="0" w:color="auto"/>
            </w:tcBorders>
            <w:shd w:val="clear" w:color="000000" w:fill="FFFFFF"/>
            <w:noWrap/>
            <w:vAlign w:val="center"/>
            <w:hideMark/>
          </w:tcPr>
          <w:p w14:paraId="1BAC879F"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0</w:t>
            </w:r>
          </w:p>
        </w:tc>
        <w:tc>
          <w:tcPr>
            <w:tcW w:w="1050" w:type="dxa"/>
            <w:tcBorders>
              <w:top w:val="nil"/>
              <w:left w:val="nil"/>
              <w:bottom w:val="single" w:sz="8" w:space="0" w:color="auto"/>
              <w:right w:val="single" w:sz="8" w:space="0" w:color="auto"/>
            </w:tcBorders>
            <w:shd w:val="clear" w:color="000000" w:fill="FFFFFF"/>
            <w:noWrap/>
            <w:vAlign w:val="center"/>
            <w:hideMark/>
          </w:tcPr>
          <w:p w14:paraId="44DBB288"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1,600</w:t>
            </w:r>
          </w:p>
        </w:tc>
        <w:tc>
          <w:tcPr>
            <w:tcW w:w="1086" w:type="dxa"/>
            <w:tcBorders>
              <w:top w:val="nil"/>
              <w:left w:val="nil"/>
              <w:bottom w:val="single" w:sz="8" w:space="0" w:color="auto"/>
              <w:right w:val="single" w:sz="8" w:space="0" w:color="auto"/>
            </w:tcBorders>
            <w:shd w:val="clear" w:color="000000" w:fill="FFFFFF"/>
            <w:noWrap/>
            <w:vAlign w:val="center"/>
            <w:hideMark/>
          </w:tcPr>
          <w:p w14:paraId="3B5CE818" w14:textId="77777777" w:rsidR="00072702" w:rsidRPr="00072702" w:rsidRDefault="00072702" w:rsidP="00072702">
            <w:pPr>
              <w:jc w:val="right"/>
              <w:rPr>
                <w:rFonts w:cs="Arial"/>
                <w:color w:val="000000"/>
                <w:sz w:val="20"/>
                <w:lang w:eastAsia="en-GB"/>
              </w:rPr>
            </w:pPr>
            <w:r w:rsidRPr="00072702">
              <w:rPr>
                <w:rFonts w:cs="Arial"/>
                <w:color w:val="000000"/>
                <w:sz w:val="20"/>
                <w:lang w:eastAsia="en-GB"/>
              </w:rPr>
              <w:t>43</w:t>
            </w:r>
          </w:p>
        </w:tc>
      </w:tr>
      <w:tr w:rsidR="00072702" w:rsidRPr="00072702" w14:paraId="7D837564" w14:textId="77777777" w:rsidTr="00072702">
        <w:trPr>
          <w:trHeight w:val="287"/>
        </w:trPr>
        <w:tc>
          <w:tcPr>
            <w:tcW w:w="45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78C62F" w14:textId="77777777" w:rsidR="00072702" w:rsidRPr="00072702" w:rsidRDefault="00072702" w:rsidP="00072702">
            <w:pPr>
              <w:rPr>
                <w:rFonts w:cs="Arial"/>
                <w:b/>
                <w:bCs/>
                <w:color w:val="000000"/>
                <w:sz w:val="20"/>
                <w:lang w:eastAsia="en-GB"/>
              </w:rPr>
            </w:pPr>
            <w:r w:rsidRPr="00072702">
              <w:rPr>
                <w:rFonts w:cs="Arial"/>
                <w:b/>
                <w:bCs/>
                <w:color w:val="000000"/>
                <w:sz w:val="20"/>
                <w:lang w:eastAsia="en-GB"/>
              </w:rPr>
              <w:t>Children's Services Total</w:t>
            </w:r>
          </w:p>
        </w:tc>
        <w:tc>
          <w:tcPr>
            <w:tcW w:w="1055" w:type="dxa"/>
            <w:tcBorders>
              <w:top w:val="nil"/>
              <w:left w:val="nil"/>
              <w:bottom w:val="single" w:sz="8" w:space="0" w:color="auto"/>
              <w:right w:val="single" w:sz="8" w:space="0" w:color="auto"/>
            </w:tcBorders>
            <w:shd w:val="clear" w:color="000000" w:fill="FFFFFF"/>
            <w:noWrap/>
            <w:vAlign w:val="center"/>
            <w:hideMark/>
          </w:tcPr>
          <w:p w14:paraId="7657D59C"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38,723</w:t>
            </w:r>
          </w:p>
        </w:tc>
        <w:tc>
          <w:tcPr>
            <w:tcW w:w="950" w:type="dxa"/>
            <w:tcBorders>
              <w:top w:val="nil"/>
              <w:left w:val="nil"/>
              <w:bottom w:val="single" w:sz="8" w:space="0" w:color="auto"/>
              <w:right w:val="single" w:sz="8" w:space="0" w:color="auto"/>
            </w:tcBorders>
            <w:shd w:val="clear" w:color="000000" w:fill="FFFFFF"/>
            <w:noWrap/>
            <w:vAlign w:val="center"/>
            <w:hideMark/>
          </w:tcPr>
          <w:p w14:paraId="22AAA807"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36,909</w:t>
            </w:r>
          </w:p>
        </w:tc>
        <w:tc>
          <w:tcPr>
            <w:tcW w:w="1106" w:type="dxa"/>
            <w:tcBorders>
              <w:top w:val="nil"/>
              <w:left w:val="nil"/>
              <w:bottom w:val="single" w:sz="8" w:space="0" w:color="auto"/>
              <w:right w:val="single" w:sz="8" w:space="0" w:color="auto"/>
            </w:tcBorders>
            <w:shd w:val="clear" w:color="000000" w:fill="FFFFFF"/>
            <w:noWrap/>
            <w:vAlign w:val="center"/>
            <w:hideMark/>
          </w:tcPr>
          <w:p w14:paraId="07FCCCD1"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1,414</w:t>
            </w:r>
          </w:p>
        </w:tc>
        <w:tc>
          <w:tcPr>
            <w:tcW w:w="998" w:type="dxa"/>
            <w:tcBorders>
              <w:top w:val="nil"/>
              <w:left w:val="nil"/>
              <w:bottom w:val="single" w:sz="8" w:space="0" w:color="auto"/>
              <w:right w:val="single" w:sz="8" w:space="0" w:color="auto"/>
            </w:tcBorders>
            <w:shd w:val="clear" w:color="000000" w:fill="FFFFFF"/>
            <w:noWrap/>
            <w:vAlign w:val="center"/>
            <w:hideMark/>
          </w:tcPr>
          <w:p w14:paraId="084A3137"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400</w:t>
            </w:r>
          </w:p>
        </w:tc>
        <w:tc>
          <w:tcPr>
            <w:tcW w:w="1050" w:type="dxa"/>
            <w:tcBorders>
              <w:top w:val="nil"/>
              <w:left w:val="nil"/>
              <w:bottom w:val="single" w:sz="8" w:space="0" w:color="auto"/>
              <w:right w:val="single" w:sz="8" w:space="0" w:color="auto"/>
            </w:tcBorders>
            <w:shd w:val="clear" w:color="000000" w:fill="FFFFFF"/>
            <w:noWrap/>
            <w:vAlign w:val="center"/>
            <w:hideMark/>
          </w:tcPr>
          <w:p w14:paraId="214EC2CE"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38,723</w:t>
            </w:r>
          </w:p>
        </w:tc>
        <w:tc>
          <w:tcPr>
            <w:tcW w:w="1086" w:type="dxa"/>
            <w:tcBorders>
              <w:top w:val="nil"/>
              <w:left w:val="nil"/>
              <w:bottom w:val="single" w:sz="8" w:space="0" w:color="auto"/>
              <w:right w:val="single" w:sz="8" w:space="0" w:color="auto"/>
            </w:tcBorders>
            <w:shd w:val="clear" w:color="000000" w:fill="FFFFFF"/>
            <w:noWrap/>
            <w:vAlign w:val="center"/>
            <w:hideMark/>
          </w:tcPr>
          <w:p w14:paraId="659418AC"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0</w:t>
            </w:r>
          </w:p>
        </w:tc>
      </w:tr>
      <w:tr w:rsidR="00072702" w:rsidRPr="00072702" w14:paraId="5AA645CA" w14:textId="77777777" w:rsidTr="008A6B86">
        <w:trPr>
          <w:trHeight w:val="287"/>
        </w:trPr>
        <w:tc>
          <w:tcPr>
            <w:tcW w:w="4529" w:type="dxa"/>
            <w:gridSpan w:val="2"/>
            <w:tcBorders>
              <w:top w:val="nil"/>
              <w:left w:val="single" w:sz="8" w:space="0" w:color="auto"/>
              <w:bottom w:val="single" w:sz="8" w:space="0" w:color="auto"/>
              <w:right w:val="single" w:sz="8" w:space="0" w:color="auto"/>
            </w:tcBorders>
            <w:shd w:val="clear" w:color="auto" w:fill="auto"/>
            <w:vAlign w:val="center"/>
            <w:hideMark/>
          </w:tcPr>
          <w:p w14:paraId="4B4C8364" w14:textId="77777777" w:rsidR="00072702" w:rsidRPr="00072702" w:rsidRDefault="00072702" w:rsidP="00072702">
            <w:pPr>
              <w:rPr>
                <w:rFonts w:cs="Arial"/>
                <w:b/>
                <w:bCs/>
                <w:color w:val="000000"/>
                <w:sz w:val="20"/>
                <w:lang w:eastAsia="en-GB"/>
              </w:rPr>
            </w:pPr>
            <w:r w:rsidRPr="00072702">
              <w:rPr>
                <w:rFonts w:cs="Arial"/>
                <w:b/>
                <w:bCs/>
                <w:color w:val="000000"/>
                <w:sz w:val="20"/>
                <w:lang w:eastAsia="en-GB"/>
              </w:rPr>
              <w:t>People Services Total</w:t>
            </w:r>
          </w:p>
          <w:p w14:paraId="01CFAAC6" w14:textId="448C0945" w:rsidR="00072702" w:rsidRPr="00072702" w:rsidRDefault="00072702" w:rsidP="00072702">
            <w:pPr>
              <w:rPr>
                <w:rFonts w:cs="Arial"/>
                <w:b/>
                <w:bCs/>
                <w:color w:val="000000"/>
                <w:sz w:val="20"/>
                <w:lang w:eastAsia="en-GB"/>
              </w:rPr>
            </w:pPr>
            <w:r w:rsidRPr="00072702">
              <w:rPr>
                <w:rFonts w:cs="Arial"/>
                <w:b/>
                <w:bCs/>
                <w:color w:val="000000"/>
                <w:sz w:val="20"/>
                <w:lang w:eastAsia="en-GB"/>
              </w:rPr>
              <w:t> </w:t>
            </w:r>
          </w:p>
        </w:tc>
        <w:tc>
          <w:tcPr>
            <w:tcW w:w="1055" w:type="dxa"/>
            <w:tcBorders>
              <w:top w:val="nil"/>
              <w:left w:val="nil"/>
              <w:bottom w:val="single" w:sz="8" w:space="0" w:color="auto"/>
              <w:right w:val="single" w:sz="8" w:space="0" w:color="auto"/>
            </w:tcBorders>
            <w:shd w:val="clear" w:color="auto" w:fill="auto"/>
            <w:noWrap/>
            <w:vAlign w:val="center"/>
            <w:hideMark/>
          </w:tcPr>
          <w:p w14:paraId="16D71BA4"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106,973</w:t>
            </w:r>
          </w:p>
        </w:tc>
        <w:tc>
          <w:tcPr>
            <w:tcW w:w="950" w:type="dxa"/>
            <w:tcBorders>
              <w:top w:val="nil"/>
              <w:left w:val="nil"/>
              <w:bottom w:val="single" w:sz="8" w:space="0" w:color="auto"/>
              <w:right w:val="single" w:sz="8" w:space="0" w:color="auto"/>
            </w:tcBorders>
            <w:shd w:val="clear" w:color="auto" w:fill="auto"/>
            <w:noWrap/>
            <w:vAlign w:val="center"/>
            <w:hideMark/>
          </w:tcPr>
          <w:p w14:paraId="554C0E6A"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104,992</w:t>
            </w:r>
          </w:p>
        </w:tc>
        <w:tc>
          <w:tcPr>
            <w:tcW w:w="1106" w:type="dxa"/>
            <w:tcBorders>
              <w:top w:val="nil"/>
              <w:left w:val="nil"/>
              <w:bottom w:val="single" w:sz="8" w:space="0" w:color="auto"/>
              <w:right w:val="single" w:sz="8" w:space="0" w:color="auto"/>
            </w:tcBorders>
            <w:shd w:val="clear" w:color="auto" w:fill="auto"/>
            <w:noWrap/>
            <w:vAlign w:val="center"/>
            <w:hideMark/>
          </w:tcPr>
          <w:p w14:paraId="61D1CCF3"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1,698</w:t>
            </w:r>
          </w:p>
        </w:tc>
        <w:tc>
          <w:tcPr>
            <w:tcW w:w="998" w:type="dxa"/>
            <w:tcBorders>
              <w:top w:val="nil"/>
              <w:left w:val="nil"/>
              <w:bottom w:val="single" w:sz="8" w:space="0" w:color="auto"/>
              <w:right w:val="single" w:sz="8" w:space="0" w:color="auto"/>
            </w:tcBorders>
            <w:shd w:val="clear" w:color="auto" w:fill="auto"/>
            <w:noWrap/>
            <w:vAlign w:val="center"/>
            <w:hideMark/>
          </w:tcPr>
          <w:p w14:paraId="48B07B51"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400</w:t>
            </w:r>
          </w:p>
        </w:tc>
        <w:tc>
          <w:tcPr>
            <w:tcW w:w="1050" w:type="dxa"/>
            <w:tcBorders>
              <w:top w:val="nil"/>
              <w:left w:val="nil"/>
              <w:bottom w:val="single" w:sz="8" w:space="0" w:color="auto"/>
              <w:right w:val="single" w:sz="8" w:space="0" w:color="auto"/>
            </w:tcBorders>
            <w:shd w:val="clear" w:color="auto" w:fill="auto"/>
            <w:noWrap/>
            <w:vAlign w:val="center"/>
            <w:hideMark/>
          </w:tcPr>
          <w:p w14:paraId="3577A1A0"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107,090</w:t>
            </w:r>
          </w:p>
        </w:tc>
        <w:tc>
          <w:tcPr>
            <w:tcW w:w="1086" w:type="dxa"/>
            <w:tcBorders>
              <w:top w:val="nil"/>
              <w:left w:val="nil"/>
              <w:bottom w:val="single" w:sz="8" w:space="0" w:color="auto"/>
              <w:right w:val="single" w:sz="8" w:space="0" w:color="auto"/>
            </w:tcBorders>
            <w:shd w:val="clear" w:color="auto" w:fill="auto"/>
            <w:noWrap/>
            <w:vAlign w:val="center"/>
            <w:hideMark/>
          </w:tcPr>
          <w:p w14:paraId="498050BD" w14:textId="77777777" w:rsidR="00072702" w:rsidRPr="00072702" w:rsidRDefault="00072702" w:rsidP="00072702">
            <w:pPr>
              <w:jc w:val="right"/>
              <w:rPr>
                <w:rFonts w:cs="Arial"/>
                <w:b/>
                <w:bCs/>
                <w:color w:val="000000"/>
                <w:sz w:val="20"/>
                <w:lang w:eastAsia="en-GB"/>
              </w:rPr>
            </w:pPr>
            <w:r w:rsidRPr="00072702">
              <w:rPr>
                <w:rFonts w:cs="Arial"/>
                <w:b/>
                <w:bCs/>
                <w:color w:val="000000"/>
                <w:sz w:val="20"/>
                <w:lang w:eastAsia="en-GB"/>
              </w:rPr>
              <w:t>117</w:t>
            </w:r>
          </w:p>
        </w:tc>
      </w:tr>
    </w:tbl>
    <w:p w14:paraId="1FB5A8B7" w14:textId="77777777" w:rsidR="00072702" w:rsidRPr="00BA08ED" w:rsidRDefault="00072702" w:rsidP="000C14C0">
      <w:pPr>
        <w:rPr>
          <w:b/>
          <w:bCs/>
          <w:szCs w:val="24"/>
          <w:u w:val="single"/>
        </w:rPr>
      </w:pPr>
    </w:p>
    <w:p w14:paraId="2941320B" w14:textId="0B4C933A" w:rsidR="00F51A83" w:rsidRPr="008036B7" w:rsidRDefault="008036B7" w:rsidP="00F51A83">
      <w:pPr>
        <w:pStyle w:val="ListParagraph"/>
        <w:numPr>
          <w:ilvl w:val="0"/>
          <w:numId w:val="4"/>
        </w:numPr>
        <w:ind w:left="567" w:hanging="567"/>
        <w:jc w:val="both"/>
        <w:rPr>
          <w:rFonts w:cs="Arial"/>
          <w:bCs/>
        </w:rPr>
      </w:pPr>
      <w:r>
        <w:rPr>
          <w:rFonts w:cs="Arial"/>
          <w:bCs/>
          <w:szCs w:val="24"/>
        </w:rPr>
        <w:t>As at the end of the financial year, t</w:t>
      </w:r>
      <w:r w:rsidRPr="008036B7">
        <w:rPr>
          <w:rFonts w:cs="Arial"/>
          <w:bCs/>
          <w:szCs w:val="24"/>
        </w:rPr>
        <w:t xml:space="preserve">he final outturn for the </w:t>
      </w:r>
      <w:r w:rsidR="00F51A83" w:rsidRPr="008036B7">
        <w:rPr>
          <w:rFonts w:cs="Arial"/>
          <w:bCs/>
          <w:szCs w:val="24"/>
        </w:rPr>
        <w:t xml:space="preserve">directorate </w:t>
      </w:r>
      <w:r w:rsidRPr="008036B7">
        <w:rPr>
          <w:rFonts w:cs="Arial"/>
          <w:bCs/>
          <w:szCs w:val="24"/>
        </w:rPr>
        <w:t>is</w:t>
      </w:r>
      <w:r w:rsidR="00F51A83" w:rsidRPr="008036B7">
        <w:rPr>
          <w:rFonts w:cs="Arial"/>
          <w:bCs/>
          <w:szCs w:val="24"/>
        </w:rPr>
        <w:t xml:space="preserve"> a net overspend of £</w:t>
      </w:r>
      <w:r w:rsidRPr="008036B7">
        <w:rPr>
          <w:rFonts w:cs="Arial"/>
          <w:bCs/>
          <w:szCs w:val="24"/>
        </w:rPr>
        <w:t>117</w:t>
      </w:r>
      <w:r w:rsidR="00C30FE7" w:rsidRPr="008036B7">
        <w:rPr>
          <w:rFonts w:cs="Arial"/>
          <w:bCs/>
          <w:szCs w:val="24"/>
        </w:rPr>
        <w:t>k</w:t>
      </w:r>
      <w:r w:rsidR="00F51A83" w:rsidRPr="008036B7">
        <w:rPr>
          <w:rFonts w:cs="Arial"/>
          <w:bCs/>
          <w:szCs w:val="24"/>
        </w:rPr>
        <w:t xml:space="preserve"> after drawdown from reserves and one-off fundin</w:t>
      </w:r>
      <w:r w:rsidR="00121AC5">
        <w:rPr>
          <w:rFonts w:cs="Arial"/>
          <w:bCs/>
          <w:szCs w:val="24"/>
        </w:rPr>
        <w:t>g</w:t>
      </w:r>
    </w:p>
    <w:p w14:paraId="45298AD1" w14:textId="1534CFD2" w:rsidR="00F51A83" w:rsidRPr="008036B7" w:rsidRDefault="00F51A83" w:rsidP="00F51A83">
      <w:pPr>
        <w:pStyle w:val="ListParagraph"/>
        <w:ind w:left="567"/>
        <w:jc w:val="both"/>
        <w:rPr>
          <w:rFonts w:cs="Arial"/>
          <w:bCs/>
        </w:rPr>
      </w:pPr>
    </w:p>
    <w:p w14:paraId="12A234AD" w14:textId="2992FDB4" w:rsidR="00F51A83" w:rsidRPr="008036B7" w:rsidRDefault="00F51A83" w:rsidP="00F51A83">
      <w:pPr>
        <w:pStyle w:val="ListParagraph"/>
        <w:numPr>
          <w:ilvl w:val="0"/>
          <w:numId w:val="4"/>
        </w:numPr>
        <w:ind w:left="567" w:hanging="567"/>
        <w:jc w:val="both"/>
        <w:rPr>
          <w:rFonts w:cs="Arial"/>
          <w:bCs/>
        </w:rPr>
      </w:pPr>
      <w:r w:rsidRPr="008036B7">
        <w:rPr>
          <w:rFonts w:cs="Arial"/>
          <w:bCs/>
        </w:rPr>
        <w:t xml:space="preserve">The reserve movements are shown in Table </w:t>
      </w:r>
      <w:r w:rsidR="00C444C1" w:rsidRPr="008036B7">
        <w:rPr>
          <w:rFonts w:cs="Arial"/>
          <w:bCs/>
        </w:rPr>
        <w:t>9</w:t>
      </w:r>
      <w:r w:rsidRPr="008036B7">
        <w:rPr>
          <w:rFonts w:cs="Arial"/>
          <w:bCs/>
        </w:rPr>
        <w:t xml:space="preserve"> </w:t>
      </w:r>
    </w:p>
    <w:p w14:paraId="0D7BD9A3" w14:textId="77777777" w:rsidR="003A742D" w:rsidRPr="006160A2" w:rsidRDefault="003A742D" w:rsidP="00F51A83">
      <w:pPr>
        <w:jc w:val="both"/>
        <w:rPr>
          <w:rFonts w:cs="Arial"/>
          <w:b/>
          <w:bCs/>
          <w:color w:val="FF0000"/>
          <w:szCs w:val="24"/>
          <w:u w:val="single"/>
        </w:rPr>
      </w:pPr>
    </w:p>
    <w:p w14:paraId="630785A8" w14:textId="4DB2195F" w:rsidR="00F51A83" w:rsidRPr="008036B7" w:rsidRDefault="00F51A83" w:rsidP="00F51A83">
      <w:pPr>
        <w:jc w:val="both"/>
        <w:rPr>
          <w:rFonts w:cs="Arial"/>
          <w:b/>
          <w:bCs/>
          <w:szCs w:val="24"/>
          <w:u w:val="single"/>
        </w:rPr>
      </w:pPr>
      <w:r w:rsidRPr="008036B7">
        <w:rPr>
          <w:rFonts w:cs="Arial"/>
          <w:b/>
          <w:bCs/>
          <w:szCs w:val="24"/>
          <w:u w:val="single"/>
        </w:rPr>
        <w:t xml:space="preserve">Table </w:t>
      </w:r>
      <w:r w:rsidR="00C444C1" w:rsidRPr="008036B7">
        <w:rPr>
          <w:rFonts w:cs="Arial"/>
          <w:b/>
          <w:bCs/>
          <w:szCs w:val="24"/>
          <w:u w:val="single"/>
        </w:rPr>
        <w:t>9</w:t>
      </w:r>
      <w:r w:rsidRPr="008036B7">
        <w:rPr>
          <w:rFonts w:cs="Arial"/>
          <w:b/>
          <w:bCs/>
          <w:szCs w:val="24"/>
          <w:u w:val="single"/>
        </w:rPr>
        <w:t>: People Services Reserve Movements 2022-23</w:t>
      </w:r>
    </w:p>
    <w:p w14:paraId="329F6D73" w14:textId="77777777" w:rsidR="00F51A83" w:rsidRPr="008036B7" w:rsidRDefault="00F51A83" w:rsidP="00F51A83">
      <w:pPr>
        <w:jc w:val="both"/>
        <w:rPr>
          <w:rFonts w:cs="Arial"/>
          <w:b/>
          <w:bCs/>
          <w:szCs w:val="24"/>
          <w:u w:val="single"/>
        </w:rPr>
      </w:pPr>
    </w:p>
    <w:tbl>
      <w:tblPr>
        <w:tblStyle w:val="TableGrid"/>
        <w:tblW w:w="0" w:type="auto"/>
        <w:tblLook w:val="04A0" w:firstRow="1" w:lastRow="0" w:firstColumn="1" w:lastColumn="0" w:noHBand="0" w:noVBand="1"/>
      </w:tblPr>
      <w:tblGrid>
        <w:gridCol w:w="6785"/>
        <w:gridCol w:w="2234"/>
      </w:tblGrid>
      <w:tr w:rsidR="008036B7" w:rsidRPr="008036B7" w14:paraId="2E33AD7B" w14:textId="77777777" w:rsidTr="00D45966">
        <w:tc>
          <w:tcPr>
            <w:tcW w:w="6785" w:type="dxa"/>
          </w:tcPr>
          <w:p w14:paraId="4542BD8D" w14:textId="6C3FC30C" w:rsidR="00F51A83" w:rsidRPr="008036B7" w:rsidRDefault="00F51A83" w:rsidP="00F51A83">
            <w:pPr>
              <w:jc w:val="both"/>
              <w:rPr>
                <w:rFonts w:cs="Arial"/>
                <w:b/>
                <w:bCs/>
                <w:sz w:val="20"/>
              </w:rPr>
            </w:pPr>
            <w:r w:rsidRPr="008036B7">
              <w:rPr>
                <w:b/>
                <w:bCs/>
                <w:sz w:val="20"/>
              </w:rPr>
              <w:t xml:space="preserve">Description </w:t>
            </w:r>
          </w:p>
        </w:tc>
        <w:tc>
          <w:tcPr>
            <w:tcW w:w="2234" w:type="dxa"/>
          </w:tcPr>
          <w:p w14:paraId="2C6EB572" w14:textId="0BC58FE7" w:rsidR="00F51A83" w:rsidRPr="008036B7" w:rsidRDefault="00F51A83" w:rsidP="00F51A83">
            <w:pPr>
              <w:jc w:val="right"/>
              <w:rPr>
                <w:rFonts w:cs="Arial"/>
                <w:b/>
                <w:bCs/>
                <w:sz w:val="20"/>
              </w:rPr>
            </w:pPr>
            <w:r w:rsidRPr="008036B7">
              <w:rPr>
                <w:rFonts w:cs="Arial"/>
                <w:b/>
                <w:bCs/>
                <w:sz w:val="20"/>
              </w:rPr>
              <w:t>Movement £’000</w:t>
            </w:r>
          </w:p>
        </w:tc>
      </w:tr>
      <w:tr w:rsidR="008036B7" w:rsidRPr="008036B7" w14:paraId="41DF08B2" w14:textId="77777777" w:rsidTr="00D45966">
        <w:tc>
          <w:tcPr>
            <w:tcW w:w="6785" w:type="dxa"/>
          </w:tcPr>
          <w:p w14:paraId="6FD23A1C" w14:textId="5DAAFBF8" w:rsidR="00F51A83" w:rsidRPr="008036B7" w:rsidRDefault="008036B7" w:rsidP="00F51A83">
            <w:pPr>
              <w:jc w:val="both"/>
              <w:rPr>
                <w:rFonts w:cs="Arial"/>
                <w:sz w:val="20"/>
              </w:rPr>
            </w:pPr>
            <w:r w:rsidRPr="008036B7">
              <w:rPr>
                <w:sz w:val="20"/>
              </w:rPr>
              <w:t>Adults</w:t>
            </w:r>
            <w:r w:rsidR="00F51A83" w:rsidRPr="008036B7">
              <w:rPr>
                <w:sz w:val="20"/>
              </w:rPr>
              <w:t xml:space="preserve"> – </w:t>
            </w:r>
            <w:r w:rsidRPr="008036B7">
              <w:rPr>
                <w:sz w:val="20"/>
              </w:rPr>
              <w:t>Adults Social Care Reserve</w:t>
            </w:r>
          </w:p>
        </w:tc>
        <w:tc>
          <w:tcPr>
            <w:tcW w:w="2234" w:type="dxa"/>
          </w:tcPr>
          <w:p w14:paraId="6F0C31CA" w14:textId="6ACC175F" w:rsidR="00F51A83" w:rsidRPr="008036B7" w:rsidRDefault="008036B7" w:rsidP="00F51A83">
            <w:pPr>
              <w:jc w:val="right"/>
              <w:rPr>
                <w:rFonts w:cs="Arial"/>
                <w:sz w:val="20"/>
              </w:rPr>
            </w:pPr>
            <w:r w:rsidRPr="008036B7">
              <w:rPr>
                <w:rFonts w:cs="Arial"/>
                <w:sz w:val="20"/>
              </w:rPr>
              <w:t>130</w:t>
            </w:r>
          </w:p>
        </w:tc>
      </w:tr>
      <w:tr w:rsidR="008036B7" w:rsidRPr="008036B7" w14:paraId="3A6B1BAA" w14:textId="77777777" w:rsidTr="00D45966">
        <w:tc>
          <w:tcPr>
            <w:tcW w:w="6785" w:type="dxa"/>
          </w:tcPr>
          <w:p w14:paraId="13FA7265" w14:textId="6D44B093" w:rsidR="008036B7" w:rsidRPr="008036B7" w:rsidRDefault="008036B7" w:rsidP="008036B7">
            <w:pPr>
              <w:jc w:val="both"/>
              <w:rPr>
                <w:sz w:val="20"/>
              </w:rPr>
            </w:pPr>
            <w:r w:rsidRPr="008036B7">
              <w:rPr>
                <w:sz w:val="20"/>
              </w:rPr>
              <w:t>Children’s – Revenue Grant Reserve</w:t>
            </w:r>
          </w:p>
        </w:tc>
        <w:tc>
          <w:tcPr>
            <w:tcW w:w="2234" w:type="dxa"/>
          </w:tcPr>
          <w:p w14:paraId="0A034497" w14:textId="7F36EC10" w:rsidR="008036B7" w:rsidRPr="008036B7" w:rsidRDefault="008036B7" w:rsidP="008036B7">
            <w:pPr>
              <w:jc w:val="right"/>
              <w:rPr>
                <w:sz w:val="20"/>
              </w:rPr>
            </w:pPr>
            <w:r w:rsidRPr="008036B7">
              <w:rPr>
                <w:sz w:val="20"/>
              </w:rPr>
              <w:t>517</w:t>
            </w:r>
          </w:p>
        </w:tc>
      </w:tr>
      <w:tr w:rsidR="008036B7" w:rsidRPr="008036B7" w14:paraId="7A9CD7A7" w14:textId="77777777" w:rsidTr="00D45966">
        <w:tc>
          <w:tcPr>
            <w:tcW w:w="6785" w:type="dxa"/>
            <w:vAlign w:val="center"/>
          </w:tcPr>
          <w:p w14:paraId="245D6750" w14:textId="218FF51B" w:rsidR="008036B7" w:rsidRPr="008036B7" w:rsidRDefault="008036B7" w:rsidP="008036B7">
            <w:pPr>
              <w:jc w:val="both"/>
              <w:rPr>
                <w:rFonts w:cs="Arial"/>
                <w:sz w:val="20"/>
              </w:rPr>
            </w:pPr>
            <w:r w:rsidRPr="008036B7">
              <w:rPr>
                <w:rFonts w:cs="Arial"/>
                <w:sz w:val="20"/>
              </w:rPr>
              <w:t>Children’s – Children's Social Care Reserve</w:t>
            </w:r>
          </w:p>
        </w:tc>
        <w:tc>
          <w:tcPr>
            <w:tcW w:w="2234" w:type="dxa"/>
          </w:tcPr>
          <w:p w14:paraId="2E5128F4" w14:textId="13B758DB" w:rsidR="008036B7" w:rsidRPr="008036B7" w:rsidRDefault="008036B7" w:rsidP="008036B7">
            <w:pPr>
              <w:jc w:val="right"/>
              <w:rPr>
                <w:rFonts w:cs="Arial"/>
                <w:sz w:val="20"/>
              </w:rPr>
            </w:pPr>
            <w:r w:rsidRPr="008036B7">
              <w:rPr>
                <w:sz w:val="20"/>
              </w:rPr>
              <w:t>-487</w:t>
            </w:r>
          </w:p>
        </w:tc>
      </w:tr>
      <w:tr w:rsidR="008036B7" w:rsidRPr="008036B7" w14:paraId="5B56E77C" w14:textId="77777777" w:rsidTr="00D45966">
        <w:tc>
          <w:tcPr>
            <w:tcW w:w="6785" w:type="dxa"/>
            <w:vAlign w:val="center"/>
          </w:tcPr>
          <w:p w14:paraId="6E0A18A7" w14:textId="32731F99" w:rsidR="008036B7" w:rsidRPr="008036B7" w:rsidRDefault="008036B7" w:rsidP="008036B7">
            <w:pPr>
              <w:jc w:val="both"/>
              <w:rPr>
                <w:rFonts w:cs="Arial"/>
                <w:sz w:val="20"/>
              </w:rPr>
            </w:pPr>
            <w:r w:rsidRPr="008036B7">
              <w:rPr>
                <w:rFonts w:cs="Arial"/>
                <w:sz w:val="20"/>
              </w:rPr>
              <w:t>Children’s – DSG Deficit Reserve</w:t>
            </w:r>
          </w:p>
        </w:tc>
        <w:tc>
          <w:tcPr>
            <w:tcW w:w="2234" w:type="dxa"/>
          </w:tcPr>
          <w:p w14:paraId="1460A998" w14:textId="7564277E" w:rsidR="008036B7" w:rsidRPr="008036B7" w:rsidRDefault="008036B7" w:rsidP="008036B7">
            <w:pPr>
              <w:jc w:val="right"/>
              <w:rPr>
                <w:rFonts w:cs="Arial"/>
                <w:sz w:val="20"/>
              </w:rPr>
            </w:pPr>
            <w:r w:rsidRPr="008036B7">
              <w:rPr>
                <w:rFonts w:cs="Arial"/>
                <w:sz w:val="20"/>
              </w:rPr>
              <w:t>1,384</w:t>
            </w:r>
          </w:p>
        </w:tc>
      </w:tr>
      <w:tr w:rsidR="008036B7" w:rsidRPr="008036B7" w14:paraId="0C593F2B" w14:textId="77777777" w:rsidTr="00D45966">
        <w:tc>
          <w:tcPr>
            <w:tcW w:w="6785" w:type="dxa"/>
          </w:tcPr>
          <w:p w14:paraId="2FFB73E3" w14:textId="2731EFA4" w:rsidR="008036B7" w:rsidRPr="008036B7" w:rsidRDefault="008036B7" w:rsidP="008036B7">
            <w:pPr>
              <w:jc w:val="both"/>
              <w:rPr>
                <w:rFonts w:cs="Arial"/>
                <w:sz w:val="20"/>
              </w:rPr>
            </w:pPr>
            <w:r w:rsidRPr="008036B7">
              <w:rPr>
                <w:sz w:val="20"/>
              </w:rPr>
              <w:t>Public Health – Public Health Reserve</w:t>
            </w:r>
          </w:p>
        </w:tc>
        <w:tc>
          <w:tcPr>
            <w:tcW w:w="2234" w:type="dxa"/>
          </w:tcPr>
          <w:p w14:paraId="5C999E42" w14:textId="55485B3D" w:rsidR="008036B7" w:rsidRPr="008036B7" w:rsidRDefault="008036B7" w:rsidP="008036B7">
            <w:pPr>
              <w:jc w:val="right"/>
              <w:rPr>
                <w:rFonts w:cs="Arial"/>
                <w:sz w:val="20"/>
              </w:rPr>
            </w:pPr>
            <w:r w:rsidRPr="008036B7">
              <w:rPr>
                <w:rFonts w:cs="Arial"/>
                <w:sz w:val="20"/>
              </w:rPr>
              <w:t>154</w:t>
            </w:r>
          </w:p>
        </w:tc>
      </w:tr>
      <w:tr w:rsidR="008036B7" w:rsidRPr="008036B7" w14:paraId="3CF790B1" w14:textId="77777777" w:rsidTr="00EE0742">
        <w:trPr>
          <w:trHeight w:val="40"/>
        </w:trPr>
        <w:tc>
          <w:tcPr>
            <w:tcW w:w="6785" w:type="dxa"/>
          </w:tcPr>
          <w:p w14:paraId="56D90B65" w14:textId="0882C0F7" w:rsidR="008036B7" w:rsidRPr="008036B7" w:rsidRDefault="008036B7" w:rsidP="008036B7">
            <w:pPr>
              <w:jc w:val="both"/>
              <w:rPr>
                <w:rFonts w:cs="Arial"/>
                <w:sz w:val="20"/>
              </w:rPr>
            </w:pPr>
            <w:r w:rsidRPr="008036B7">
              <w:rPr>
                <w:b/>
                <w:bCs/>
                <w:sz w:val="20"/>
              </w:rPr>
              <w:t>People Services net draw down</w:t>
            </w:r>
          </w:p>
        </w:tc>
        <w:tc>
          <w:tcPr>
            <w:tcW w:w="2234" w:type="dxa"/>
          </w:tcPr>
          <w:p w14:paraId="5F96F310" w14:textId="0582141B" w:rsidR="008036B7" w:rsidRPr="008036B7" w:rsidRDefault="00BC1350" w:rsidP="008036B7">
            <w:pPr>
              <w:jc w:val="right"/>
              <w:rPr>
                <w:rFonts w:cs="Arial"/>
                <w:sz w:val="20"/>
              </w:rPr>
            </w:pPr>
            <w:r>
              <w:rPr>
                <w:b/>
                <w:bCs/>
                <w:sz w:val="20"/>
              </w:rPr>
              <w:t>1,698</w:t>
            </w:r>
          </w:p>
        </w:tc>
      </w:tr>
      <w:tr w:rsidR="00072702" w:rsidRPr="008036B7" w14:paraId="797D584E" w14:textId="77777777" w:rsidTr="00A26341">
        <w:trPr>
          <w:trHeight w:val="40"/>
        </w:trPr>
        <w:tc>
          <w:tcPr>
            <w:tcW w:w="6785" w:type="dxa"/>
            <w:vAlign w:val="center"/>
          </w:tcPr>
          <w:p w14:paraId="33C2643D" w14:textId="6EBCA39B" w:rsidR="00072702" w:rsidRPr="008036B7" w:rsidRDefault="00072702" w:rsidP="00072702">
            <w:pPr>
              <w:jc w:val="both"/>
              <w:rPr>
                <w:b/>
                <w:bCs/>
                <w:sz w:val="20"/>
              </w:rPr>
            </w:pPr>
            <w:r w:rsidRPr="008036B7">
              <w:rPr>
                <w:rFonts w:cs="Arial"/>
                <w:sz w:val="20"/>
              </w:rPr>
              <w:t>Children’s – Cross Divisional Adjustment</w:t>
            </w:r>
          </w:p>
        </w:tc>
        <w:tc>
          <w:tcPr>
            <w:tcW w:w="2234" w:type="dxa"/>
          </w:tcPr>
          <w:p w14:paraId="438C53F3" w14:textId="55DD716F" w:rsidR="00072702" w:rsidRPr="008036B7" w:rsidRDefault="00072702" w:rsidP="00072702">
            <w:pPr>
              <w:jc w:val="right"/>
              <w:rPr>
                <w:b/>
                <w:bCs/>
                <w:sz w:val="20"/>
              </w:rPr>
            </w:pPr>
            <w:r w:rsidRPr="008036B7">
              <w:rPr>
                <w:rFonts w:cs="Arial"/>
                <w:sz w:val="20"/>
              </w:rPr>
              <w:t>400</w:t>
            </w:r>
          </w:p>
        </w:tc>
      </w:tr>
      <w:tr w:rsidR="00BC1350" w:rsidRPr="008036B7" w14:paraId="7F600AC8" w14:textId="77777777" w:rsidTr="00A26341">
        <w:trPr>
          <w:trHeight w:val="40"/>
        </w:trPr>
        <w:tc>
          <w:tcPr>
            <w:tcW w:w="6785" w:type="dxa"/>
            <w:vAlign w:val="center"/>
          </w:tcPr>
          <w:p w14:paraId="080DCADD" w14:textId="4ABDB687" w:rsidR="00BC1350" w:rsidRPr="00BC1350" w:rsidRDefault="00BC1350" w:rsidP="00072702">
            <w:pPr>
              <w:jc w:val="both"/>
              <w:rPr>
                <w:rFonts w:cs="Arial"/>
                <w:b/>
                <w:bCs/>
                <w:sz w:val="20"/>
              </w:rPr>
            </w:pPr>
            <w:r w:rsidRPr="00BC1350">
              <w:rPr>
                <w:rFonts w:cs="Arial"/>
                <w:b/>
                <w:bCs/>
                <w:sz w:val="20"/>
              </w:rPr>
              <w:t>People Services total draw down</w:t>
            </w:r>
          </w:p>
        </w:tc>
        <w:tc>
          <w:tcPr>
            <w:tcW w:w="2234" w:type="dxa"/>
          </w:tcPr>
          <w:p w14:paraId="142C37A9" w14:textId="7E491A6C" w:rsidR="00BC1350" w:rsidRPr="00BC1350" w:rsidRDefault="00BC1350" w:rsidP="00072702">
            <w:pPr>
              <w:jc w:val="right"/>
              <w:rPr>
                <w:rFonts w:cs="Arial"/>
                <w:b/>
                <w:bCs/>
                <w:sz w:val="20"/>
              </w:rPr>
            </w:pPr>
            <w:r w:rsidRPr="00BC1350">
              <w:rPr>
                <w:rFonts w:cs="Arial"/>
                <w:b/>
                <w:bCs/>
                <w:sz w:val="20"/>
              </w:rPr>
              <w:t>2,098</w:t>
            </w:r>
          </w:p>
        </w:tc>
      </w:tr>
    </w:tbl>
    <w:p w14:paraId="1D4396B4" w14:textId="77777777" w:rsidR="00F51A83" w:rsidRPr="008036B7" w:rsidRDefault="00F51A83" w:rsidP="00F51A83">
      <w:pPr>
        <w:jc w:val="both"/>
        <w:rPr>
          <w:rFonts w:cs="Arial"/>
          <w:bCs/>
        </w:rPr>
      </w:pPr>
    </w:p>
    <w:p w14:paraId="45D98BC4" w14:textId="5222D49E" w:rsidR="00157B60" w:rsidRPr="008036B7" w:rsidRDefault="00F678AF" w:rsidP="00AF06B3">
      <w:pPr>
        <w:pStyle w:val="ListParagraph"/>
        <w:numPr>
          <w:ilvl w:val="0"/>
          <w:numId w:val="4"/>
        </w:numPr>
        <w:ind w:left="460" w:hanging="567"/>
        <w:jc w:val="both"/>
        <w:rPr>
          <w:rFonts w:cs="Arial"/>
          <w:bCs/>
        </w:rPr>
      </w:pPr>
      <w:r w:rsidRPr="008036B7">
        <w:rPr>
          <w:szCs w:val="24"/>
        </w:rPr>
        <w:t xml:space="preserve">The </w:t>
      </w:r>
      <w:r w:rsidR="00817D33" w:rsidRPr="008036B7">
        <w:rPr>
          <w:rFonts w:cs="Arial"/>
          <w:bCs/>
        </w:rPr>
        <w:t xml:space="preserve">variations are </w:t>
      </w:r>
      <w:r w:rsidR="00161FB7" w:rsidRPr="008036B7">
        <w:rPr>
          <w:rFonts w:cs="Arial"/>
          <w:bCs/>
        </w:rPr>
        <w:t xml:space="preserve">explained in more detail </w:t>
      </w:r>
      <w:r w:rsidR="006E61F6" w:rsidRPr="008036B7">
        <w:rPr>
          <w:rFonts w:cs="Arial"/>
          <w:bCs/>
        </w:rPr>
        <w:t>at the following paragraphs.</w:t>
      </w:r>
    </w:p>
    <w:p w14:paraId="0C403893" w14:textId="77777777" w:rsidR="003C7F2F" w:rsidRPr="008036B7" w:rsidRDefault="003C7F2F" w:rsidP="00157B60">
      <w:pPr>
        <w:jc w:val="both"/>
        <w:rPr>
          <w:rFonts w:cs="Arial"/>
          <w:b/>
        </w:rPr>
      </w:pPr>
    </w:p>
    <w:p w14:paraId="27B5BE1A" w14:textId="45758674" w:rsidR="00157B60" w:rsidRPr="005C7E6C" w:rsidRDefault="00157B60" w:rsidP="00157B60">
      <w:pPr>
        <w:jc w:val="both"/>
        <w:rPr>
          <w:rFonts w:cs="Arial"/>
          <w:b/>
        </w:rPr>
      </w:pPr>
      <w:r w:rsidRPr="005C7E6C">
        <w:rPr>
          <w:rFonts w:cs="Arial"/>
          <w:b/>
        </w:rPr>
        <w:t>Adult Services</w:t>
      </w:r>
    </w:p>
    <w:p w14:paraId="0987F2CF" w14:textId="77777777" w:rsidR="00157B60" w:rsidRPr="00C27BCB" w:rsidRDefault="00157B60" w:rsidP="00157B60">
      <w:pPr>
        <w:jc w:val="both"/>
        <w:rPr>
          <w:rFonts w:cs="Arial"/>
          <w:bCs/>
        </w:rPr>
      </w:pPr>
    </w:p>
    <w:p w14:paraId="22EC26E4" w14:textId="6252B85D" w:rsidR="002B67CC" w:rsidRPr="00C27BCB" w:rsidRDefault="00B60857" w:rsidP="00AF06B3">
      <w:pPr>
        <w:pStyle w:val="ListParagraph"/>
        <w:numPr>
          <w:ilvl w:val="0"/>
          <w:numId w:val="4"/>
        </w:numPr>
        <w:ind w:left="460" w:hanging="567"/>
        <w:jc w:val="both"/>
        <w:rPr>
          <w:rFonts w:cs="Arial"/>
          <w:bCs/>
        </w:rPr>
      </w:pPr>
      <w:bookmarkStart w:id="5" w:name="_Hlk48752687"/>
      <w:r w:rsidRPr="00C27BCB">
        <w:rPr>
          <w:rFonts w:cstheme="minorHAnsi"/>
        </w:rPr>
        <w:t>As</w:t>
      </w:r>
      <w:r w:rsidR="005C7E6C" w:rsidRPr="00C27BCB">
        <w:rPr>
          <w:rFonts w:cstheme="minorHAnsi"/>
        </w:rPr>
        <w:t xml:space="preserve"> at the end of the financial year the final outturn is net overspend of £117k</w:t>
      </w:r>
      <w:r w:rsidRPr="00C27BCB">
        <w:rPr>
          <w:rFonts w:cstheme="minorHAnsi"/>
        </w:rPr>
        <w:t xml:space="preserve"> </w:t>
      </w:r>
      <w:r w:rsidR="005C7E6C" w:rsidRPr="00C27BCB">
        <w:rPr>
          <w:rFonts w:cstheme="minorHAnsi"/>
        </w:rPr>
        <w:t>after contribution to reserves.</w:t>
      </w:r>
    </w:p>
    <w:p w14:paraId="19A8F7D4" w14:textId="7BC23D48" w:rsidR="002B67CC" w:rsidRPr="00C27BCB" w:rsidRDefault="00B60857" w:rsidP="00352C90">
      <w:pPr>
        <w:pStyle w:val="ListParagraph"/>
        <w:numPr>
          <w:ilvl w:val="0"/>
          <w:numId w:val="4"/>
        </w:numPr>
        <w:ind w:left="460" w:hanging="567"/>
        <w:jc w:val="both"/>
        <w:rPr>
          <w:rFonts w:cstheme="minorHAnsi"/>
        </w:rPr>
      </w:pPr>
      <w:r w:rsidRPr="00C27BCB">
        <w:rPr>
          <w:rFonts w:cstheme="minorHAnsi"/>
          <w:b/>
          <w:bCs/>
        </w:rPr>
        <w:lastRenderedPageBreak/>
        <w:t>Strategic Management</w:t>
      </w:r>
      <w:r w:rsidRPr="00C27BCB">
        <w:rPr>
          <w:rFonts w:cstheme="minorHAnsi"/>
        </w:rPr>
        <w:t xml:space="preserve"> - £</w:t>
      </w:r>
      <w:r w:rsidR="00B62108" w:rsidRPr="00C27BCB">
        <w:rPr>
          <w:rFonts w:cstheme="minorHAnsi"/>
        </w:rPr>
        <w:t>1</w:t>
      </w:r>
      <w:r w:rsidR="005C7E6C" w:rsidRPr="00C27BCB">
        <w:rPr>
          <w:rFonts w:cstheme="minorHAnsi"/>
        </w:rPr>
        <w:t>83</w:t>
      </w:r>
      <w:r w:rsidR="00B62108" w:rsidRPr="00C27BCB">
        <w:rPr>
          <w:rFonts w:cstheme="minorHAnsi"/>
        </w:rPr>
        <w:t>k</w:t>
      </w:r>
      <w:r w:rsidRPr="00C27BCB">
        <w:rPr>
          <w:rFonts w:cstheme="minorHAnsi"/>
        </w:rPr>
        <w:t xml:space="preserve"> </w:t>
      </w:r>
      <w:r w:rsidR="00B62108" w:rsidRPr="00C27BCB">
        <w:rPr>
          <w:rFonts w:cstheme="minorHAnsi"/>
        </w:rPr>
        <w:t>und</w:t>
      </w:r>
      <w:r w:rsidRPr="00C27BCB">
        <w:rPr>
          <w:rFonts w:cstheme="minorHAnsi"/>
        </w:rPr>
        <w:t>erspend</w:t>
      </w:r>
      <w:r w:rsidR="00B62108" w:rsidRPr="00C27BCB">
        <w:rPr>
          <w:rFonts w:cstheme="minorHAnsi"/>
        </w:rPr>
        <w:t xml:space="preserve">. This is due to the </w:t>
      </w:r>
      <w:r w:rsidR="005C7E6C" w:rsidRPr="00C27BCB">
        <w:rPr>
          <w:rFonts w:cstheme="minorHAnsi"/>
        </w:rPr>
        <w:t>A</w:t>
      </w:r>
      <w:r w:rsidR="004A7939">
        <w:rPr>
          <w:rFonts w:cstheme="minorHAnsi"/>
        </w:rPr>
        <w:t xml:space="preserve">dult </w:t>
      </w:r>
      <w:r w:rsidR="005C7E6C" w:rsidRPr="00C27BCB">
        <w:rPr>
          <w:rFonts w:cstheme="minorHAnsi"/>
        </w:rPr>
        <w:t>S</w:t>
      </w:r>
      <w:r w:rsidR="004A7939">
        <w:rPr>
          <w:rFonts w:cstheme="minorHAnsi"/>
        </w:rPr>
        <w:t xml:space="preserve">ocial </w:t>
      </w:r>
      <w:r w:rsidR="005C7E6C" w:rsidRPr="00C27BCB">
        <w:rPr>
          <w:rFonts w:cstheme="minorHAnsi"/>
        </w:rPr>
        <w:t>C</w:t>
      </w:r>
      <w:r w:rsidR="004A7939">
        <w:rPr>
          <w:rFonts w:cstheme="minorHAnsi"/>
        </w:rPr>
        <w:t>are</w:t>
      </w:r>
      <w:r w:rsidR="005C7E6C" w:rsidRPr="00C27BCB">
        <w:rPr>
          <w:rFonts w:cstheme="minorHAnsi"/>
        </w:rPr>
        <w:t xml:space="preserve"> reforms grant funding £107k and u</w:t>
      </w:r>
      <w:r w:rsidR="009C0E07">
        <w:rPr>
          <w:rFonts w:cstheme="minorHAnsi"/>
        </w:rPr>
        <w:t>n</w:t>
      </w:r>
      <w:r w:rsidR="005C7E6C" w:rsidRPr="00C27BCB">
        <w:rPr>
          <w:rFonts w:cstheme="minorHAnsi"/>
        </w:rPr>
        <w:t>allocated contingency which was not spent £76k</w:t>
      </w:r>
    </w:p>
    <w:p w14:paraId="6350A1F1" w14:textId="77777777" w:rsidR="00B62108" w:rsidRPr="00C27BCB" w:rsidRDefault="00B62108" w:rsidP="00B62108">
      <w:pPr>
        <w:pStyle w:val="ListParagraph"/>
        <w:rPr>
          <w:rFonts w:cstheme="minorHAnsi"/>
        </w:rPr>
      </w:pPr>
    </w:p>
    <w:p w14:paraId="43E80E0A" w14:textId="338AE9DA" w:rsidR="00ED6A24" w:rsidRPr="00C27BCB" w:rsidRDefault="005C7E6C" w:rsidP="005C7E6C">
      <w:pPr>
        <w:pStyle w:val="ListParagraph"/>
        <w:numPr>
          <w:ilvl w:val="0"/>
          <w:numId w:val="4"/>
        </w:numPr>
        <w:ind w:left="460" w:hanging="567"/>
        <w:jc w:val="both"/>
        <w:rPr>
          <w:rFonts w:cstheme="minorHAnsi"/>
        </w:rPr>
      </w:pPr>
      <w:r w:rsidRPr="00C27BCB">
        <w:rPr>
          <w:rFonts w:cstheme="minorHAnsi"/>
          <w:b/>
          <w:bCs/>
        </w:rPr>
        <w:t>Workforce</w:t>
      </w:r>
      <w:r w:rsidR="00B62108" w:rsidRPr="00C27BCB">
        <w:rPr>
          <w:rFonts w:cstheme="minorHAnsi"/>
          <w:b/>
          <w:bCs/>
        </w:rPr>
        <w:t xml:space="preserve"> </w:t>
      </w:r>
      <w:r w:rsidR="00B62108" w:rsidRPr="00C27BCB">
        <w:rPr>
          <w:rFonts w:cstheme="minorHAnsi"/>
        </w:rPr>
        <w:t>- £</w:t>
      </w:r>
      <w:r w:rsidRPr="00C27BCB">
        <w:rPr>
          <w:rFonts w:cstheme="minorHAnsi"/>
        </w:rPr>
        <w:t>331</w:t>
      </w:r>
      <w:r w:rsidR="00B62108" w:rsidRPr="00C27BCB">
        <w:rPr>
          <w:rFonts w:cstheme="minorHAnsi"/>
        </w:rPr>
        <w:t xml:space="preserve">k overspend </w:t>
      </w:r>
      <w:r w:rsidRPr="00C27BCB">
        <w:rPr>
          <w:rFonts w:cstheme="minorHAnsi"/>
        </w:rPr>
        <w:t xml:space="preserve">which is due to </w:t>
      </w:r>
      <w:proofErr w:type="spellStart"/>
      <w:r w:rsidRPr="00C27BCB">
        <w:rPr>
          <w:rFonts w:cstheme="minorHAnsi"/>
        </w:rPr>
        <w:t>agreed</w:t>
      </w:r>
      <w:proofErr w:type="spellEnd"/>
      <w:r w:rsidRPr="00C27BCB">
        <w:rPr>
          <w:rFonts w:cstheme="minorHAnsi"/>
        </w:rPr>
        <w:t xml:space="preserve"> above establishment staffing costs £835k and PPL transformation costs £25k which have been partially offset by an underspend on the budgeted es</w:t>
      </w:r>
      <w:r w:rsidR="009C0E07">
        <w:rPr>
          <w:rFonts w:cstheme="minorHAnsi"/>
        </w:rPr>
        <w:t>t</w:t>
      </w:r>
      <w:r w:rsidRPr="00C27BCB">
        <w:rPr>
          <w:rFonts w:cstheme="minorHAnsi"/>
        </w:rPr>
        <w:t>ablish</w:t>
      </w:r>
      <w:r w:rsidR="00121AC5">
        <w:rPr>
          <w:rFonts w:cstheme="minorHAnsi"/>
        </w:rPr>
        <w:t>ment</w:t>
      </w:r>
      <w:r w:rsidRPr="00C27BCB">
        <w:rPr>
          <w:rFonts w:cstheme="minorHAnsi"/>
        </w:rPr>
        <w:t xml:space="preserve"> £23k and additional grant funding £505k</w:t>
      </w:r>
    </w:p>
    <w:p w14:paraId="089081A8" w14:textId="77777777" w:rsidR="00ED6A24" w:rsidRPr="00C27BCB" w:rsidRDefault="00ED6A24" w:rsidP="00ED6A24">
      <w:pPr>
        <w:pStyle w:val="ListParagraph"/>
        <w:ind w:left="460"/>
        <w:jc w:val="both"/>
        <w:rPr>
          <w:rFonts w:cs="Arial"/>
          <w:bCs/>
        </w:rPr>
      </w:pPr>
    </w:p>
    <w:p w14:paraId="04780BA5" w14:textId="18F53A89" w:rsidR="00ED6A24" w:rsidRPr="00C27BCB" w:rsidRDefault="00ED6A24" w:rsidP="00F512A4">
      <w:pPr>
        <w:pStyle w:val="ListParagraph"/>
        <w:numPr>
          <w:ilvl w:val="0"/>
          <w:numId w:val="4"/>
        </w:numPr>
        <w:ind w:left="460" w:hanging="567"/>
        <w:jc w:val="both"/>
        <w:rPr>
          <w:rFonts w:cs="Arial"/>
          <w:bCs/>
        </w:rPr>
      </w:pPr>
      <w:r w:rsidRPr="00C27BCB">
        <w:rPr>
          <w:rFonts w:cs="Arial"/>
          <w:b/>
        </w:rPr>
        <w:t>Equipment</w:t>
      </w:r>
      <w:r w:rsidRPr="00C27BCB">
        <w:rPr>
          <w:rFonts w:cs="Arial"/>
          <w:bCs/>
        </w:rPr>
        <w:t xml:space="preserve"> - £2</w:t>
      </w:r>
      <w:r w:rsidR="005C7E6C" w:rsidRPr="00C27BCB">
        <w:rPr>
          <w:rFonts w:cs="Arial"/>
          <w:bCs/>
        </w:rPr>
        <w:t>96</w:t>
      </w:r>
      <w:r w:rsidRPr="00C27BCB">
        <w:rPr>
          <w:rFonts w:cs="Arial"/>
          <w:bCs/>
        </w:rPr>
        <w:t>k overspend net of discharge funding</w:t>
      </w:r>
      <w:r w:rsidR="005C7E6C" w:rsidRPr="00C27BCB">
        <w:rPr>
          <w:rFonts w:cs="Arial"/>
          <w:bCs/>
        </w:rPr>
        <w:t xml:space="preserve"> £85k</w:t>
      </w:r>
      <w:r w:rsidRPr="00C27BCB">
        <w:rPr>
          <w:rFonts w:cs="Arial"/>
          <w:bCs/>
        </w:rPr>
        <w:t xml:space="preserve">. This reflects 45% LA / 55% </w:t>
      </w:r>
      <w:r w:rsidR="004A7939">
        <w:rPr>
          <w:rFonts w:cs="Arial"/>
          <w:bCs/>
        </w:rPr>
        <w:t xml:space="preserve">Integrated </w:t>
      </w:r>
      <w:r w:rsidRPr="00C27BCB">
        <w:rPr>
          <w:rFonts w:cs="Arial"/>
          <w:bCs/>
        </w:rPr>
        <w:t>C</w:t>
      </w:r>
      <w:r w:rsidR="004A7939">
        <w:rPr>
          <w:rFonts w:cs="Arial"/>
          <w:bCs/>
        </w:rPr>
        <w:t>are Board</w:t>
      </w:r>
      <w:r w:rsidRPr="00C27BCB">
        <w:rPr>
          <w:rFonts w:cs="Arial"/>
          <w:bCs/>
        </w:rPr>
        <w:t xml:space="preserve"> split on equipment issues</w:t>
      </w:r>
      <w:r w:rsidR="005C7E6C" w:rsidRPr="00C27BCB">
        <w:rPr>
          <w:rFonts w:cs="Arial"/>
          <w:bCs/>
        </w:rPr>
        <w:t>.</w:t>
      </w:r>
    </w:p>
    <w:p w14:paraId="232485BA" w14:textId="77777777" w:rsidR="005C7E6C" w:rsidRPr="00C27BCB" w:rsidRDefault="005C7E6C" w:rsidP="005C7E6C">
      <w:pPr>
        <w:pStyle w:val="ListParagraph"/>
        <w:rPr>
          <w:rFonts w:cs="Arial"/>
          <w:bCs/>
        </w:rPr>
      </w:pPr>
    </w:p>
    <w:p w14:paraId="41F65B97" w14:textId="4BA47ADA" w:rsidR="005C7E6C" w:rsidRPr="00C27BCB" w:rsidRDefault="005C7E6C" w:rsidP="00F512A4">
      <w:pPr>
        <w:pStyle w:val="ListParagraph"/>
        <w:numPr>
          <w:ilvl w:val="0"/>
          <w:numId w:val="4"/>
        </w:numPr>
        <w:ind w:left="460" w:hanging="567"/>
        <w:jc w:val="both"/>
        <w:rPr>
          <w:rFonts w:cs="Arial"/>
          <w:bCs/>
        </w:rPr>
      </w:pPr>
      <w:r w:rsidRPr="00C27BCB">
        <w:rPr>
          <w:rFonts w:cs="Arial"/>
          <w:b/>
        </w:rPr>
        <w:t>Contracts</w:t>
      </w:r>
      <w:r w:rsidRPr="00C27BCB">
        <w:rPr>
          <w:rFonts w:cs="Arial"/>
          <w:bCs/>
        </w:rPr>
        <w:t xml:space="preserve"> - £36k underspend due to variations on contracts based </w:t>
      </w:r>
      <w:proofErr w:type="gramStart"/>
      <w:r w:rsidRPr="00C27BCB">
        <w:rPr>
          <w:rFonts w:cs="Arial"/>
          <w:bCs/>
        </w:rPr>
        <w:t>activity</w:t>
      </w:r>
      <w:proofErr w:type="gramEnd"/>
    </w:p>
    <w:p w14:paraId="7B969FE6" w14:textId="77777777" w:rsidR="00ED6A24" w:rsidRPr="00C27BCB" w:rsidRDefault="00ED6A24" w:rsidP="00ED6A24">
      <w:pPr>
        <w:pStyle w:val="ListParagraph"/>
        <w:rPr>
          <w:rFonts w:cs="Arial"/>
          <w:bCs/>
        </w:rPr>
      </w:pPr>
    </w:p>
    <w:p w14:paraId="54487AAA" w14:textId="3AC776A4" w:rsidR="00ED6A24" w:rsidRPr="00C27BCB" w:rsidRDefault="00ED6A24" w:rsidP="00F512A4">
      <w:pPr>
        <w:pStyle w:val="ListParagraph"/>
        <w:numPr>
          <w:ilvl w:val="0"/>
          <w:numId w:val="4"/>
        </w:numPr>
        <w:ind w:left="460" w:hanging="567"/>
        <w:jc w:val="both"/>
        <w:rPr>
          <w:rFonts w:cs="Arial"/>
          <w:bCs/>
        </w:rPr>
      </w:pPr>
      <w:r w:rsidRPr="00C27BCB">
        <w:rPr>
          <w:rFonts w:cs="Arial"/>
          <w:b/>
        </w:rPr>
        <w:t>Mental Health</w:t>
      </w:r>
      <w:r w:rsidRPr="00C27BCB">
        <w:rPr>
          <w:rFonts w:cs="Arial"/>
          <w:bCs/>
        </w:rPr>
        <w:t xml:space="preserve"> - £</w:t>
      </w:r>
      <w:r w:rsidR="005C7E6C" w:rsidRPr="00C27BCB">
        <w:rPr>
          <w:rFonts w:cs="Arial"/>
          <w:bCs/>
        </w:rPr>
        <w:t>662</w:t>
      </w:r>
      <w:r w:rsidRPr="00C27BCB">
        <w:rPr>
          <w:rFonts w:cs="Arial"/>
          <w:bCs/>
        </w:rPr>
        <w:t>k underspend</w:t>
      </w:r>
      <w:r w:rsidR="005C7E6C" w:rsidRPr="00C27BCB">
        <w:rPr>
          <w:rFonts w:cs="Arial"/>
          <w:bCs/>
        </w:rPr>
        <w:t xml:space="preserve"> in relation to the provision of mental health services to the under 65s</w:t>
      </w:r>
      <w:r w:rsidRPr="00C27BCB">
        <w:rPr>
          <w:rFonts w:cs="Arial"/>
          <w:bCs/>
        </w:rPr>
        <w:t>.</w:t>
      </w:r>
      <w:r w:rsidR="008B082A">
        <w:rPr>
          <w:rFonts w:cs="Arial"/>
          <w:bCs/>
        </w:rPr>
        <w:t xml:space="preserve"> This comprises a lower than anticipated level of expenditure,</w:t>
      </w:r>
      <w:r w:rsidR="007235F3">
        <w:rPr>
          <w:rFonts w:cs="Arial"/>
          <w:bCs/>
        </w:rPr>
        <w:t xml:space="preserve"> </w:t>
      </w:r>
      <w:r w:rsidR="008B082A">
        <w:rPr>
          <w:rFonts w:cs="Arial"/>
          <w:bCs/>
        </w:rPr>
        <w:t xml:space="preserve">increased grant funding </w:t>
      </w:r>
      <w:r w:rsidR="005C7E6C" w:rsidRPr="00C27BCB">
        <w:rPr>
          <w:rFonts w:cs="Arial"/>
          <w:bCs/>
        </w:rPr>
        <w:t>£21</w:t>
      </w:r>
      <w:r w:rsidR="007235F3">
        <w:rPr>
          <w:rFonts w:cs="Arial"/>
          <w:bCs/>
        </w:rPr>
        <w:t xml:space="preserve">k </w:t>
      </w:r>
      <w:r w:rsidR="005C7E6C" w:rsidRPr="00C27BCB">
        <w:rPr>
          <w:rFonts w:cs="Arial"/>
          <w:bCs/>
        </w:rPr>
        <w:t xml:space="preserve">and </w:t>
      </w:r>
      <w:r w:rsidR="008B082A">
        <w:rPr>
          <w:rFonts w:cs="Arial"/>
          <w:bCs/>
        </w:rPr>
        <w:t xml:space="preserve">unbudgeted </w:t>
      </w:r>
      <w:r w:rsidR="005C7E6C" w:rsidRPr="00C27BCB">
        <w:rPr>
          <w:rFonts w:cs="Arial"/>
          <w:bCs/>
        </w:rPr>
        <w:t>recharges to health £196k</w:t>
      </w:r>
      <w:r w:rsidR="007235F3">
        <w:rPr>
          <w:rFonts w:cs="Arial"/>
          <w:bCs/>
        </w:rPr>
        <w:t xml:space="preserve"> </w:t>
      </w:r>
      <w:r w:rsidR="005C7E6C" w:rsidRPr="00C27BCB">
        <w:rPr>
          <w:rFonts w:cs="Arial"/>
          <w:bCs/>
        </w:rPr>
        <w:t xml:space="preserve">offset by interim costs associated with </w:t>
      </w:r>
      <w:r w:rsidR="00BA1A64" w:rsidRPr="00C27BCB">
        <w:rPr>
          <w:rFonts w:cs="Arial"/>
          <w:bCs/>
        </w:rPr>
        <w:t>de</w:t>
      </w:r>
      <w:r w:rsidR="005C7E6C" w:rsidRPr="00C27BCB">
        <w:rPr>
          <w:rFonts w:cs="Arial"/>
          <w:bCs/>
        </w:rPr>
        <w:t>commissioning projects £54k</w:t>
      </w:r>
      <w:r w:rsidR="00BA1A64" w:rsidRPr="00C27BCB">
        <w:rPr>
          <w:rFonts w:cs="Arial"/>
          <w:bCs/>
        </w:rPr>
        <w:t>.</w:t>
      </w:r>
    </w:p>
    <w:p w14:paraId="31984339" w14:textId="77777777" w:rsidR="00ED6A24" w:rsidRPr="00C27BCB" w:rsidRDefault="00ED6A24" w:rsidP="00ED6A24">
      <w:pPr>
        <w:pStyle w:val="ListParagraph"/>
        <w:rPr>
          <w:rFonts w:cs="Arial"/>
          <w:bCs/>
        </w:rPr>
      </w:pPr>
    </w:p>
    <w:p w14:paraId="6AE369E8" w14:textId="77777777" w:rsidR="00831207" w:rsidRPr="00C27BCB" w:rsidRDefault="00ED6A24" w:rsidP="00831207">
      <w:pPr>
        <w:pStyle w:val="ListParagraph"/>
        <w:numPr>
          <w:ilvl w:val="0"/>
          <w:numId w:val="4"/>
        </w:numPr>
        <w:ind w:left="460" w:hanging="567"/>
        <w:jc w:val="both"/>
        <w:rPr>
          <w:rFonts w:cs="Arial"/>
          <w:bCs/>
        </w:rPr>
      </w:pPr>
      <w:r w:rsidRPr="00C27BCB">
        <w:rPr>
          <w:rFonts w:cs="Arial"/>
          <w:b/>
        </w:rPr>
        <w:t>Better Care Fund</w:t>
      </w:r>
      <w:r w:rsidRPr="00C27BCB">
        <w:rPr>
          <w:rFonts w:cs="Arial"/>
          <w:bCs/>
        </w:rPr>
        <w:t xml:space="preserve"> - £</w:t>
      </w:r>
      <w:r w:rsidR="00831207" w:rsidRPr="00C27BCB">
        <w:rPr>
          <w:rFonts w:cs="Arial"/>
          <w:bCs/>
        </w:rPr>
        <w:t>605</w:t>
      </w:r>
      <w:r w:rsidRPr="00C27BCB">
        <w:rPr>
          <w:rFonts w:cs="Arial"/>
          <w:bCs/>
        </w:rPr>
        <w:t>k underspend</w:t>
      </w:r>
      <w:r w:rsidR="00831207" w:rsidRPr="00C27BCB">
        <w:rPr>
          <w:rFonts w:cs="Arial"/>
          <w:bCs/>
        </w:rPr>
        <w:t xml:space="preserve"> due to a lower level of staffing costs £277k, uncommitted funding £132k and an increase in the </w:t>
      </w:r>
      <w:proofErr w:type="spellStart"/>
      <w:r w:rsidR="00831207" w:rsidRPr="00C27BCB">
        <w:rPr>
          <w:rFonts w:cs="Arial"/>
          <w:bCs/>
        </w:rPr>
        <w:t>iBCF</w:t>
      </w:r>
      <w:proofErr w:type="spellEnd"/>
      <w:r w:rsidR="00831207" w:rsidRPr="00C27BCB">
        <w:rPr>
          <w:rFonts w:cs="Arial"/>
          <w:bCs/>
        </w:rPr>
        <w:t xml:space="preserve"> gran funding £196k (to be used to offset the cessation of the PFI grant of £235k reported within the purchasing budget</w:t>
      </w:r>
    </w:p>
    <w:p w14:paraId="3162CE5C" w14:textId="77777777" w:rsidR="00831207" w:rsidRPr="00C27BCB" w:rsidRDefault="00831207" w:rsidP="00831207">
      <w:pPr>
        <w:pStyle w:val="ListParagraph"/>
        <w:rPr>
          <w:rFonts w:cstheme="minorHAnsi"/>
          <w:b/>
          <w:bCs/>
        </w:rPr>
      </w:pPr>
    </w:p>
    <w:p w14:paraId="6CDCB697" w14:textId="79DF962D" w:rsidR="00831207" w:rsidRPr="00C27BCB" w:rsidRDefault="00831207" w:rsidP="00831207">
      <w:pPr>
        <w:pStyle w:val="ListParagraph"/>
        <w:numPr>
          <w:ilvl w:val="0"/>
          <w:numId w:val="4"/>
        </w:numPr>
        <w:ind w:left="460" w:hanging="567"/>
        <w:jc w:val="both"/>
        <w:rPr>
          <w:rFonts w:cs="Arial"/>
          <w:bCs/>
        </w:rPr>
      </w:pPr>
      <w:r w:rsidRPr="00C27BCB">
        <w:rPr>
          <w:rFonts w:cstheme="minorHAnsi"/>
          <w:b/>
          <w:bCs/>
        </w:rPr>
        <w:t xml:space="preserve">Inhouse Services </w:t>
      </w:r>
      <w:r w:rsidRPr="00C27BCB">
        <w:rPr>
          <w:rFonts w:cstheme="minorHAnsi"/>
        </w:rPr>
        <w:t>- £735k underspend which reflects delays in recruiting to vacant posts and lower costs (including staffing) associated with the provision of transport to day centres £325k.</w:t>
      </w:r>
    </w:p>
    <w:p w14:paraId="78A5BAAF" w14:textId="77777777" w:rsidR="00ED6A24" w:rsidRPr="00C27BCB" w:rsidRDefault="00ED6A24" w:rsidP="00ED6A24">
      <w:pPr>
        <w:pStyle w:val="ListParagraph"/>
        <w:ind w:left="460"/>
        <w:jc w:val="both"/>
        <w:rPr>
          <w:rFonts w:cs="Arial"/>
          <w:bCs/>
        </w:rPr>
      </w:pPr>
    </w:p>
    <w:p w14:paraId="3E935935" w14:textId="3C509822" w:rsidR="00542808" w:rsidRPr="00C27BCB" w:rsidRDefault="00ED6A24" w:rsidP="00EC056F">
      <w:pPr>
        <w:pStyle w:val="ListParagraph"/>
        <w:numPr>
          <w:ilvl w:val="0"/>
          <w:numId w:val="4"/>
        </w:numPr>
        <w:ind w:left="460" w:hanging="567"/>
        <w:jc w:val="both"/>
        <w:rPr>
          <w:rFonts w:eastAsia="Calibri" w:cstheme="minorHAnsi"/>
        </w:rPr>
      </w:pPr>
      <w:r w:rsidRPr="00C27BCB">
        <w:rPr>
          <w:rFonts w:cstheme="minorHAnsi"/>
          <w:b/>
          <w:bCs/>
        </w:rPr>
        <w:t>Purchasing</w:t>
      </w:r>
      <w:r w:rsidR="00EF4214" w:rsidRPr="00C27BCB">
        <w:rPr>
          <w:rFonts w:cstheme="minorHAnsi"/>
          <w:b/>
          <w:bCs/>
        </w:rPr>
        <w:t xml:space="preserve"> </w:t>
      </w:r>
      <w:r w:rsidR="00EF4214" w:rsidRPr="00C27BCB">
        <w:rPr>
          <w:rFonts w:cstheme="minorHAnsi"/>
        </w:rPr>
        <w:t>-</w:t>
      </w:r>
      <w:r w:rsidR="00B60857" w:rsidRPr="00C27BCB">
        <w:rPr>
          <w:rFonts w:cstheme="minorHAnsi"/>
        </w:rPr>
        <w:t xml:space="preserve"> £1.</w:t>
      </w:r>
      <w:r w:rsidR="00831207" w:rsidRPr="00C27BCB">
        <w:rPr>
          <w:rFonts w:cstheme="minorHAnsi"/>
        </w:rPr>
        <w:t>712</w:t>
      </w:r>
      <w:r w:rsidR="00B60857" w:rsidRPr="00C27BCB">
        <w:rPr>
          <w:rFonts w:cstheme="minorHAnsi"/>
        </w:rPr>
        <w:t xml:space="preserve">m overspend </w:t>
      </w:r>
      <w:r w:rsidR="00831207" w:rsidRPr="00C27BCB">
        <w:rPr>
          <w:rFonts w:cstheme="minorHAnsi"/>
        </w:rPr>
        <w:t>made up as follows</w:t>
      </w:r>
    </w:p>
    <w:p w14:paraId="5AB4719F" w14:textId="77777777" w:rsidR="00831207" w:rsidRPr="00C27BCB" w:rsidRDefault="00831207" w:rsidP="00831207">
      <w:pPr>
        <w:pStyle w:val="ListParagraph"/>
        <w:rPr>
          <w:rFonts w:eastAsia="Calibri" w:cstheme="minorHAnsi"/>
        </w:rPr>
      </w:pPr>
    </w:p>
    <w:p w14:paraId="7AE91415" w14:textId="3C50D4D1" w:rsidR="00831207" w:rsidRPr="00C27BCB" w:rsidRDefault="00831207" w:rsidP="004F4304">
      <w:pPr>
        <w:pStyle w:val="ListParagraph"/>
        <w:numPr>
          <w:ilvl w:val="1"/>
          <w:numId w:val="4"/>
        </w:numPr>
        <w:ind w:left="1276"/>
        <w:jc w:val="both"/>
        <w:rPr>
          <w:rFonts w:eastAsia="Calibri" w:cstheme="minorHAnsi"/>
        </w:rPr>
      </w:pPr>
      <w:r w:rsidRPr="00C27BCB">
        <w:rPr>
          <w:rFonts w:eastAsia="Calibri" w:cstheme="minorHAnsi"/>
          <w:b/>
          <w:bCs/>
        </w:rPr>
        <w:t>Older Adults</w:t>
      </w:r>
      <w:r w:rsidRPr="00C27BCB">
        <w:rPr>
          <w:rFonts w:eastAsia="Calibri" w:cstheme="minorHAnsi"/>
        </w:rPr>
        <w:t xml:space="preserve"> - £123k net overspend. This is masked by additional one-off grant and health funding of £2.8m. </w:t>
      </w:r>
      <w:r w:rsidR="004F4304" w:rsidRPr="00C27BCB">
        <w:rPr>
          <w:rFonts w:eastAsia="Calibri" w:cstheme="minorHAnsi"/>
        </w:rPr>
        <w:t xml:space="preserve">The variation comprises and underspend of £4.5m when compared with packages as </w:t>
      </w:r>
      <w:proofErr w:type="gramStart"/>
      <w:r w:rsidR="004F4304" w:rsidRPr="00C27BCB">
        <w:rPr>
          <w:rFonts w:eastAsia="Calibri" w:cstheme="minorHAnsi"/>
        </w:rPr>
        <w:t>at</w:t>
      </w:r>
      <w:proofErr w:type="gramEnd"/>
      <w:r w:rsidR="004F4304" w:rsidRPr="00C27BCB">
        <w:rPr>
          <w:rFonts w:eastAsia="Calibri" w:cstheme="minorHAnsi"/>
        </w:rPr>
        <w:t xml:space="preserve"> 1 April 2022 (of which £3.3m relates to deaths) offset by new ongoing care packages </w:t>
      </w:r>
      <w:r w:rsidR="009C0E07" w:rsidRPr="00C27BCB">
        <w:rPr>
          <w:rFonts w:eastAsia="Calibri" w:cstheme="minorHAnsi"/>
        </w:rPr>
        <w:t>totalling</w:t>
      </w:r>
      <w:r w:rsidR="004F4304" w:rsidRPr="00C27BCB">
        <w:rPr>
          <w:rFonts w:eastAsia="Calibri" w:cstheme="minorHAnsi"/>
        </w:rPr>
        <w:t xml:space="preserve"> £4.5m and short term in year costs (largely following hospital discharge) of £2.6m. There was an increase in the bad debt provision of £163k and the cessation of the PFI grant £235k arising from the ownership changes at </w:t>
      </w:r>
      <w:proofErr w:type="spellStart"/>
      <w:r w:rsidR="004F4304" w:rsidRPr="00C27BCB">
        <w:rPr>
          <w:rFonts w:eastAsia="Calibri" w:cstheme="minorHAnsi"/>
        </w:rPr>
        <w:t>Sancroft</w:t>
      </w:r>
      <w:proofErr w:type="spellEnd"/>
      <w:r w:rsidR="004F4304" w:rsidRPr="00C27BCB">
        <w:rPr>
          <w:rFonts w:eastAsia="Calibri" w:cstheme="minorHAnsi"/>
        </w:rPr>
        <w:t xml:space="preserve">. In addition, costs associated with </w:t>
      </w:r>
      <w:proofErr w:type="gramStart"/>
      <w:r w:rsidR="004F4304" w:rsidRPr="00C27BCB">
        <w:rPr>
          <w:rFonts w:eastAsia="Calibri" w:cstheme="minorHAnsi"/>
        </w:rPr>
        <w:t>12</w:t>
      </w:r>
      <w:r w:rsidR="009C0E07">
        <w:rPr>
          <w:rFonts w:eastAsia="Calibri" w:cstheme="minorHAnsi"/>
        </w:rPr>
        <w:t xml:space="preserve"> </w:t>
      </w:r>
      <w:r w:rsidR="004F4304" w:rsidRPr="00C27BCB">
        <w:rPr>
          <w:rFonts w:eastAsia="Calibri" w:cstheme="minorHAnsi"/>
        </w:rPr>
        <w:t>week</w:t>
      </w:r>
      <w:proofErr w:type="gramEnd"/>
      <w:r w:rsidR="004F4304" w:rsidRPr="00C27BCB">
        <w:rPr>
          <w:rFonts w:eastAsia="Calibri" w:cstheme="minorHAnsi"/>
        </w:rPr>
        <w:t xml:space="preserve"> disregards and support for carers was less than budgeted offset by increased costs of reablement and respite.</w:t>
      </w:r>
    </w:p>
    <w:p w14:paraId="2BCEA430" w14:textId="77777777" w:rsidR="004F4304" w:rsidRPr="00C27BCB" w:rsidRDefault="004F4304" w:rsidP="004F4304">
      <w:pPr>
        <w:pStyle w:val="ListParagraph"/>
        <w:ind w:left="1276"/>
        <w:jc w:val="both"/>
        <w:rPr>
          <w:rFonts w:eastAsia="Calibri" w:cstheme="minorHAnsi"/>
          <w:b/>
          <w:bCs/>
        </w:rPr>
      </w:pPr>
    </w:p>
    <w:p w14:paraId="76B5162C" w14:textId="1556E9EF" w:rsidR="004F4304" w:rsidRPr="00C27BCB" w:rsidRDefault="004F4304" w:rsidP="004F4304">
      <w:pPr>
        <w:pStyle w:val="ListParagraph"/>
        <w:numPr>
          <w:ilvl w:val="1"/>
          <w:numId w:val="4"/>
        </w:numPr>
        <w:ind w:left="1276"/>
        <w:jc w:val="both"/>
        <w:rPr>
          <w:rFonts w:eastAsia="Calibri" w:cstheme="minorHAnsi"/>
        </w:rPr>
      </w:pPr>
      <w:r w:rsidRPr="00C27BCB">
        <w:rPr>
          <w:rFonts w:eastAsia="Calibri" w:cstheme="minorHAnsi"/>
          <w:b/>
          <w:bCs/>
        </w:rPr>
        <w:t>Learning Disabilities</w:t>
      </w:r>
      <w:r w:rsidRPr="00C27BCB">
        <w:rPr>
          <w:rFonts w:eastAsia="Calibri" w:cstheme="minorHAnsi"/>
        </w:rPr>
        <w:t xml:space="preserve"> - £732k net overspend. The variation comprises a net increase in costs for existing ongoing care packages </w:t>
      </w:r>
      <w:proofErr w:type="gramStart"/>
      <w:r w:rsidRPr="00C27BCB">
        <w:rPr>
          <w:rFonts w:eastAsia="Calibri" w:cstheme="minorHAnsi"/>
        </w:rPr>
        <w:t>at</w:t>
      </w:r>
      <w:proofErr w:type="gramEnd"/>
      <w:r w:rsidRPr="00C27BCB">
        <w:rPr>
          <w:rFonts w:eastAsia="Calibri" w:cstheme="minorHAnsi"/>
        </w:rPr>
        <w:t xml:space="preserve"> 1 April 2022 (£149k, offset by 8 deaths </w:t>
      </w:r>
      <w:r w:rsidR="00E42991">
        <w:rPr>
          <w:rFonts w:eastAsia="Calibri" w:cstheme="minorHAnsi"/>
        </w:rPr>
        <w:t>providing</w:t>
      </w:r>
      <w:r w:rsidRPr="00C27BCB">
        <w:rPr>
          <w:rFonts w:eastAsia="Calibri" w:cstheme="minorHAnsi"/>
        </w:rPr>
        <w:t xml:space="preserve"> additional capacity of £146k), together with the cost of short term packages of care £110k and new packages of care £551k partially offset by the transforming care partnership grant £76k</w:t>
      </w:r>
    </w:p>
    <w:p w14:paraId="44B0FAAB" w14:textId="77777777" w:rsidR="004F4304" w:rsidRPr="00C27BCB" w:rsidRDefault="004F4304" w:rsidP="004F4304">
      <w:pPr>
        <w:pStyle w:val="ListParagraph"/>
        <w:rPr>
          <w:rFonts w:eastAsia="Calibri" w:cstheme="minorHAnsi"/>
        </w:rPr>
      </w:pPr>
    </w:p>
    <w:p w14:paraId="39491B81" w14:textId="6D7ED332" w:rsidR="004F4304" w:rsidRPr="00C27BCB" w:rsidRDefault="004F4304" w:rsidP="004F4304">
      <w:pPr>
        <w:pStyle w:val="ListParagraph"/>
        <w:numPr>
          <w:ilvl w:val="1"/>
          <w:numId w:val="4"/>
        </w:numPr>
        <w:ind w:left="1276"/>
        <w:jc w:val="both"/>
        <w:rPr>
          <w:rFonts w:eastAsia="Calibri" w:cstheme="minorHAnsi"/>
        </w:rPr>
      </w:pPr>
      <w:r w:rsidRPr="00C27BCB">
        <w:rPr>
          <w:rFonts w:eastAsia="Calibri" w:cstheme="minorHAnsi"/>
          <w:b/>
          <w:bCs/>
        </w:rPr>
        <w:lastRenderedPageBreak/>
        <w:t>CYAD</w:t>
      </w:r>
      <w:r w:rsidRPr="00C27BCB">
        <w:rPr>
          <w:rFonts w:eastAsia="Calibri" w:cstheme="minorHAnsi"/>
        </w:rPr>
        <w:t xml:space="preserve"> - £823k net overspend. This reflects a net increase in the cost of existing ongoing care packages </w:t>
      </w:r>
      <w:proofErr w:type="gramStart"/>
      <w:r w:rsidRPr="00C27BCB">
        <w:rPr>
          <w:rFonts w:eastAsia="Calibri" w:cstheme="minorHAnsi"/>
        </w:rPr>
        <w:t>at</w:t>
      </w:r>
      <w:proofErr w:type="gramEnd"/>
      <w:r w:rsidRPr="00C27BCB">
        <w:rPr>
          <w:rFonts w:eastAsia="Calibri" w:cstheme="minorHAnsi"/>
        </w:rPr>
        <w:t xml:space="preserve"> 1 April 2022 £466k together with pressure on new packages £309k</w:t>
      </w:r>
      <w:r w:rsidR="00C27BCB" w:rsidRPr="00C27BCB">
        <w:rPr>
          <w:rFonts w:eastAsia="Calibri" w:cstheme="minorHAnsi"/>
        </w:rPr>
        <w:t xml:space="preserve"> and a lower level of clawback £48k</w:t>
      </w:r>
    </w:p>
    <w:p w14:paraId="561DCFE3" w14:textId="77777777" w:rsidR="00C27BCB" w:rsidRPr="00C27BCB" w:rsidRDefault="00C27BCB" w:rsidP="00C27BCB">
      <w:pPr>
        <w:pStyle w:val="ListParagraph"/>
        <w:rPr>
          <w:rFonts w:eastAsia="Calibri" w:cstheme="minorHAnsi"/>
        </w:rPr>
      </w:pPr>
    </w:p>
    <w:p w14:paraId="35108728" w14:textId="6690C0C3" w:rsidR="00C27BCB" w:rsidRPr="00C27BCB" w:rsidRDefault="00C27BCB" w:rsidP="004F4304">
      <w:pPr>
        <w:pStyle w:val="ListParagraph"/>
        <w:numPr>
          <w:ilvl w:val="1"/>
          <w:numId w:val="4"/>
        </w:numPr>
        <w:ind w:left="1276"/>
        <w:jc w:val="both"/>
        <w:rPr>
          <w:rFonts w:eastAsia="Calibri" w:cstheme="minorHAnsi"/>
        </w:rPr>
      </w:pPr>
      <w:r w:rsidRPr="00C27BCB">
        <w:rPr>
          <w:rFonts w:eastAsia="Calibri" w:cstheme="minorHAnsi"/>
          <w:b/>
          <w:bCs/>
        </w:rPr>
        <w:t>Shared Lives</w:t>
      </w:r>
      <w:r w:rsidRPr="00C27BCB">
        <w:rPr>
          <w:rFonts w:eastAsia="Calibri" w:cstheme="minorHAnsi"/>
        </w:rPr>
        <w:t xml:space="preserve"> - £34k net overspend</w:t>
      </w:r>
    </w:p>
    <w:p w14:paraId="68C16E0F" w14:textId="77777777" w:rsidR="002B67CC" w:rsidRPr="00C27BCB" w:rsidRDefault="002B67CC" w:rsidP="002B67CC">
      <w:pPr>
        <w:pStyle w:val="ListParagraph"/>
        <w:rPr>
          <w:rFonts w:cstheme="minorHAnsi"/>
        </w:rPr>
      </w:pPr>
    </w:p>
    <w:p w14:paraId="389D0819" w14:textId="4846DF19" w:rsidR="008E20FC" w:rsidRPr="00C27BCB" w:rsidRDefault="008E20FC" w:rsidP="002656C8">
      <w:pPr>
        <w:rPr>
          <w:rFonts w:cs="Arial"/>
          <w:b/>
          <w:bCs/>
        </w:rPr>
      </w:pPr>
      <w:r w:rsidRPr="00C27BCB">
        <w:rPr>
          <w:rFonts w:cs="Arial"/>
          <w:b/>
          <w:bCs/>
        </w:rPr>
        <w:t>Public Health</w:t>
      </w:r>
    </w:p>
    <w:p w14:paraId="56F890D2" w14:textId="77777777" w:rsidR="00EA30B3" w:rsidRPr="00C27BCB" w:rsidRDefault="00EA30B3" w:rsidP="00EA30B3">
      <w:pPr>
        <w:pStyle w:val="ListParagraph"/>
        <w:rPr>
          <w:rFonts w:eastAsia="Calibri" w:cs="Arial"/>
        </w:rPr>
      </w:pPr>
    </w:p>
    <w:p w14:paraId="23CA7D55" w14:textId="5FCC077C" w:rsidR="00E136DA" w:rsidRPr="00C27BCB" w:rsidRDefault="00C27BCB" w:rsidP="00AF06B3">
      <w:pPr>
        <w:pStyle w:val="ListParagraph"/>
        <w:numPr>
          <w:ilvl w:val="0"/>
          <w:numId w:val="4"/>
        </w:numPr>
        <w:ind w:left="460" w:hanging="567"/>
        <w:jc w:val="both"/>
        <w:rPr>
          <w:rFonts w:cs="Arial"/>
          <w:b/>
          <w:bCs/>
        </w:rPr>
      </w:pPr>
      <w:r w:rsidRPr="00C27BCB">
        <w:rPr>
          <w:rFonts w:eastAsia="Calibri" w:cs="Arial"/>
        </w:rPr>
        <w:t>At the end of the financial year the final outturn on Public Health was a net underspend of £154k. This is transferred back to the Public Health reserve which takes the reserve balance to £2.828m.</w:t>
      </w:r>
    </w:p>
    <w:p w14:paraId="67E72BAD" w14:textId="77777777" w:rsidR="002B67CC" w:rsidRPr="006160A2" w:rsidRDefault="002B67CC" w:rsidP="001025AD">
      <w:pPr>
        <w:jc w:val="both"/>
        <w:rPr>
          <w:rFonts w:cs="Arial"/>
          <w:b/>
          <w:color w:val="FF0000"/>
        </w:rPr>
      </w:pPr>
    </w:p>
    <w:p w14:paraId="2F0006DF" w14:textId="32C5C36E" w:rsidR="00E56F07" w:rsidRPr="00105639" w:rsidRDefault="00E56F07" w:rsidP="001025AD">
      <w:pPr>
        <w:jc w:val="both"/>
        <w:rPr>
          <w:rFonts w:cs="Arial"/>
          <w:b/>
        </w:rPr>
      </w:pPr>
      <w:r w:rsidRPr="00105639">
        <w:rPr>
          <w:rFonts w:cs="Arial"/>
          <w:b/>
        </w:rPr>
        <w:t>Children’s Services</w:t>
      </w:r>
    </w:p>
    <w:p w14:paraId="69980A39" w14:textId="2BE2A53E" w:rsidR="00CE59BC" w:rsidRPr="00105639" w:rsidRDefault="00CE59BC" w:rsidP="00CE59BC">
      <w:pPr>
        <w:pStyle w:val="ListParagraph"/>
        <w:ind w:left="567"/>
        <w:jc w:val="both"/>
        <w:rPr>
          <w:rFonts w:cs="Arial"/>
        </w:rPr>
      </w:pPr>
    </w:p>
    <w:bookmarkEnd w:id="5"/>
    <w:p w14:paraId="1D3859D8" w14:textId="45B83AA4" w:rsidR="00EA30B3" w:rsidRPr="00105639" w:rsidRDefault="00A0404D" w:rsidP="00AF06B3">
      <w:pPr>
        <w:pStyle w:val="ListParagraph"/>
        <w:numPr>
          <w:ilvl w:val="0"/>
          <w:numId w:val="4"/>
        </w:numPr>
        <w:ind w:left="460" w:hanging="567"/>
        <w:jc w:val="both"/>
        <w:rPr>
          <w:rFonts w:cs="Arial"/>
          <w:b/>
          <w:bCs/>
        </w:rPr>
      </w:pPr>
      <w:r w:rsidRPr="00105639">
        <w:rPr>
          <w:rFonts w:eastAsia="Calibri" w:cs="Arial"/>
        </w:rPr>
        <w:t xml:space="preserve">As at </w:t>
      </w:r>
      <w:r w:rsidR="00105639" w:rsidRPr="00105639">
        <w:rPr>
          <w:rFonts w:eastAsia="Calibri" w:cs="Arial"/>
        </w:rPr>
        <w:t xml:space="preserve">the end of the financial year the final outturn is a balanced budget </w:t>
      </w:r>
      <w:r w:rsidRPr="00105639">
        <w:rPr>
          <w:rFonts w:eastAsia="Calibri" w:cs="Arial"/>
        </w:rPr>
        <w:t xml:space="preserve">after a draw down from reserves and use of </w:t>
      </w:r>
      <w:r w:rsidR="00751C64" w:rsidRPr="00105639">
        <w:rPr>
          <w:rFonts w:eastAsia="Calibri" w:cs="Arial"/>
        </w:rPr>
        <w:t>one-off</w:t>
      </w:r>
      <w:r w:rsidRPr="00105639">
        <w:rPr>
          <w:rFonts w:eastAsia="Calibri" w:cs="Arial"/>
        </w:rPr>
        <w:t xml:space="preserve"> funding.</w:t>
      </w:r>
    </w:p>
    <w:p w14:paraId="675F23EB" w14:textId="77777777" w:rsidR="00BE1ACC" w:rsidRPr="00105639" w:rsidRDefault="00BE1ACC" w:rsidP="00BE1ACC">
      <w:pPr>
        <w:pStyle w:val="ListParagraph"/>
        <w:ind w:left="460"/>
        <w:jc w:val="both"/>
        <w:rPr>
          <w:rFonts w:cs="Arial"/>
          <w:b/>
          <w:bCs/>
        </w:rPr>
      </w:pPr>
    </w:p>
    <w:p w14:paraId="12DD122A" w14:textId="0CD0773C" w:rsidR="00EA30B3" w:rsidRPr="00105639" w:rsidRDefault="00B94016" w:rsidP="00AF06B3">
      <w:pPr>
        <w:pStyle w:val="ListParagraph"/>
        <w:numPr>
          <w:ilvl w:val="0"/>
          <w:numId w:val="4"/>
        </w:numPr>
        <w:ind w:left="460" w:hanging="567"/>
        <w:jc w:val="both"/>
        <w:rPr>
          <w:rFonts w:cs="Arial"/>
          <w:b/>
          <w:bCs/>
        </w:rPr>
      </w:pPr>
      <w:r w:rsidRPr="00105639">
        <w:rPr>
          <w:rFonts w:cs="Arial"/>
        </w:rPr>
        <w:t>The main variances are summarised in the following paragraphs</w:t>
      </w:r>
      <w:r w:rsidR="00DC7888" w:rsidRPr="00105639">
        <w:rPr>
          <w:rFonts w:cs="Arial"/>
        </w:rPr>
        <w:t xml:space="preserve">. </w:t>
      </w:r>
    </w:p>
    <w:p w14:paraId="460E7D92" w14:textId="77777777" w:rsidR="00EA30B3" w:rsidRPr="00105639" w:rsidRDefault="00EA30B3" w:rsidP="00EA30B3">
      <w:pPr>
        <w:pStyle w:val="ListParagraph"/>
        <w:rPr>
          <w:rFonts w:cs="Arial"/>
          <w:b/>
        </w:rPr>
      </w:pPr>
    </w:p>
    <w:p w14:paraId="2B92B891" w14:textId="44506878" w:rsidR="00951BDC" w:rsidRPr="00105639" w:rsidRDefault="00951BDC" w:rsidP="00AF06B3">
      <w:pPr>
        <w:pStyle w:val="ListParagraph"/>
        <w:numPr>
          <w:ilvl w:val="0"/>
          <w:numId w:val="4"/>
        </w:numPr>
        <w:ind w:left="460" w:hanging="567"/>
        <w:jc w:val="both"/>
        <w:rPr>
          <w:rFonts w:cs="Arial"/>
          <w:b/>
          <w:bCs/>
        </w:rPr>
      </w:pPr>
      <w:r w:rsidRPr="00105639">
        <w:rPr>
          <w:rFonts w:cs="Arial"/>
          <w:b/>
          <w:bCs/>
        </w:rPr>
        <w:t xml:space="preserve">Children and Young People Services </w:t>
      </w:r>
      <w:r w:rsidR="00CB7869" w:rsidRPr="00105639">
        <w:rPr>
          <w:rFonts w:cs="Arial"/>
        </w:rPr>
        <w:t>– £</w:t>
      </w:r>
      <w:r w:rsidR="00105639" w:rsidRPr="00105639">
        <w:rPr>
          <w:rFonts w:cs="Arial"/>
        </w:rPr>
        <w:t>588</w:t>
      </w:r>
      <w:r w:rsidR="005F37F9" w:rsidRPr="00105639">
        <w:rPr>
          <w:rFonts w:cs="Arial"/>
        </w:rPr>
        <w:t>k</w:t>
      </w:r>
      <w:r w:rsidR="00CB7869" w:rsidRPr="00105639">
        <w:rPr>
          <w:rFonts w:cs="Arial"/>
        </w:rPr>
        <w:t xml:space="preserve"> net overspend</w:t>
      </w:r>
    </w:p>
    <w:p w14:paraId="36BF6852" w14:textId="77777777" w:rsidR="00951BDC" w:rsidRPr="00105639" w:rsidRDefault="00951BDC" w:rsidP="00951BDC">
      <w:pPr>
        <w:pStyle w:val="ListParagraph"/>
        <w:rPr>
          <w:rFonts w:cs="Arial"/>
          <w:b/>
        </w:rPr>
      </w:pPr>
    </w:p>
    <w:p w14:paraId="40177AAD" w14:textId="07B26C77" w:rsidR="00AF59F9" w:rsidRPr="00105639" w:rsidRDefault="001B7238" w:rsidP="00AF06B3">
      <w:pPr>
        <w:pStyle w:val="ListParagraph"/>
        <w:numPr>
          <w:ilvl w:val="1"/>
          <w:numId w:val="4"/>
        </w:numPr>
        <w:ind w:left="1276"/>
        <w:jc w:val="both"/>
        <w:rPr>
          <w:rFonts w:cs="Arial"/>
          <w:b/>
        </w:rPr>
      </w:pPr>
      <w:r w:rsidRPr="00105639">
        <w:rPr>
          <w:rFonts w:cs="Arial"/>
          <w:b/>
        </w:rPr>
        <w:t>Children’s Placements &amp; Accommodation</w:t>
      </w:r>
      <w:r w:rsidR="00B94016" w:rsidRPr="00105639">
        <w:rPr>
          <w:rFonts w:cs="Arial"/>
          <w:b/>
        </w:rPr>
        <w:t xml:space="preserve"> </w:t>
      </w:r>
      <w:r w:rsidR="00B94016" w:rsidRPr="00105639">
        <w:rPr>
          <w:rFonts w:cs="Arial"/>
          <w:bCs/>
        </w:rPr>
        <w:t xml:space="preserve">- </w:t>
      </w:r>
      <w:r w:rsidR="00CB7869" w:rsidRPr="00105639">
        <w:rPr>
          <w:rFonts w:cs="Arial"/>
          <w:bCs/>
        </w:rPr>
        <w:t>£</w:t>
      </w:r>
      <w:r w:rsidR="00105639" w:rsidRPr="00105639">
        <w:rPr>
          <w:rFonts w:cs="Arial"/>
          <w:bCs/>
        </w:rPr>
        <w:t>1.605</w:t>
      </w:r>
      <w:r w:rsidR="00CB7869" w:rsidRPr="00105639">
        <w:rPr>
          <w:rFonts w:cs="Arial"/>
          <w:bCs/>
        </w:rPr>
        <w:t xml:space="preserve">m </w:t>
      </w:r>
      <w:r w:rsidR="00B94016" w:rsidRPr="00105639">
        <w:rPr>
          <w:rFonts w:cs="Arial"/>
          <w:bCs/>
        </w:rPr>
        <w:t>net</w:t>
      </w:r>
      <w:r w:rsidRPr="00105639">
        <w:rPr>
          <w:rFonts w:cs="Arial"/>
          <w:bCs/>
        </w:rPr>
        <w:t xml:space="preserve"> overspend</w:t>
      </w:r>
      <w:r w:rsidR="00105639" w:rsidRPr="00105639">
        <w:rPr>
          <w:rFonts w:cs="Arial"/>
          <w:bCs/>
        </w:rPr>
        <w:t xml:space="preserve"> due to an increase in the number of young people requiring accommodation as well as an increase in the complexity of need and cost of provision due to market sufficiency.</w:t>
      </w:r>
    </w:p>
    <w:p w14:paraId="2FC4530D" w14:textId="77777777" w:rsidR="006001C7" w:rsidRPr="00105639" w:rsidRDefault="006001C7" w:rsidP="006001C7">
      <w:pPr>
        <w:pStyle w:val="ListParagraph"/>
        <w:ind w:left="1276"/>
        <w:jc w:val="both"/>
        <w:rPr>
          <w:rFonts w:cs="Arial"/>
          <w:b/>
        </w:rPr>
      </w:pPr>
    </w:p>
    <w:p w14:paraId="14C9AF1F" w14:textId="19216C67" w:rsidR="00CB7869" w:rsidRPr="00105639" w:rsidRDefault="00CB7869" w:rsidP="00AF06B3">
      <w:pPr>
        <w:pStyle w:val="ListParagraph"/>
        <w:numPr>
          <w:ilvl w:val="1"/>
          <w:numId w:val="4"/>
        </w:numPr>
        <w:ind w:left="1276"/>
        <w:jc w:val="both"/>
        <w:rPr>
          <w:rFonts w:cs="Arial"/>
          <w:b/>
        </w:rPr>
      </w:pPr>
      <w:r w:rsidRPr="00105639">
        <w:rPr>
          <w:rFonts w:cs="Arial"/>
          <w:b/>
        </w:rPr>
        <w:t>Frontline Staffing</w:t>
      </w:r>
      <w:r w:rsidRPr="00105639">
        <w:rPr>
          <w:rFonts w:cs="Arial"/>
          <w:bCs/>
        </w:rPr>
        <w:t xml:space="preserve"> – £</w:t>
      </w:r>
      <w:r w:rsidR="00105639" w:rsidRPr="00105639">
        <w:rPr>
          <w:rFonts w:cs="Arial"/>
          <w:bCs/>
        </w:rPr>
        <w:t>241</w:t>
      </w:r>
      <w:r w:rsidR="00F825CF" w:rsidRPr="00105639">
        <w:rPr>
          <w:rFonts w:cs="Arial"/>
          <w:bCs/>
        </w:rPr>
        <w:t>k</w:t>
      </w:r>
      <w:r w:rsidRPr="00105639">
        <w:rPr>
          <w:rFonts w:cs="Arial"/>
          <w:bCs/>
        </w:rPr>
        <w:t xml:space="preserve"> net overspend due to staffing pressures to maintain safe caseloads and use of </w:t>
      </w:r>
      <w:r w:rsidR="005E717F" w:rsidRPr="00105639">
        <w:rPr>
          <w:rFonts w:cs="Arial"/>
          <w:bCs/>
        </w:rPr>
        <w:t xml:space="preserve">more expensive </w:t>
      </w:r>
      <w:r w:rsidRPr="00105639">
        <w:rPr>
          <w:rFonts w:cs="Arial"/>
          <w:bCs/>
        </w:rPr>
        <w:t xml:space="preserve">agency staff due to difficulties in </w:t>
      </w:r>
      <w:r w:rsidR="00751C64" w:rsidRPr="00105639">
        <w:rPr>
          <w:rFonts w:cs="Arial"/>
          <w:bCs/>
        </w:rPr>
        <w:t>permanent</w:t>
      </w:r>
      <w:r w:rsidRPr="00105639">
        <w:rPr>
          <w:rFonts w:cs="Arial"/>
          <w:bCs/>
        </w:rPr>
        <w:t xml:space="preserve"> recruitment </w:t>
      </w:r>
    </w:p>
    <w:p w14:paraId="01C94665" w14:textId="77777777" w:rsidR="006001C7" w:rsidRPr="00105639" w:rsidRDefault="006001C7" w:rsidP="006001C7">
      <w:pPr>
        <w:pStyle w:val="ListParagraph"/>
        <w:ind w:left="1276"/>
        <w:jc w:val="both"/>
        <w:rPr>
          <w:rFonts w:cs="Arial"/>
          <w:b/>
        </w:rPr>
      </w:pPr>
    </w:p>
    <w:p w14:paraId="417C3331" w14:textId="78AA4932" w:rsidR="00CB7869" w:rsidRPr="00105639" w:rsidRDefault="00201501" w:rsidP="00AF06B3">
      <w:pPr>
        <w:pStyle w:val="ListParagraph"/>
        <w:numPr>
          <w:ilvl w:val="1"/>
          <w:numId w:val="4"/>
        </w:numPr>
        <w:ind w:left="1276"/>
        <w:jc w:val="both"/>
        <w:rPr>
          <w:rFonts w:cs="Arial"/>
          <w:b/>
        </w:rPr>
      </w:pPr>
      <w:r>
        <w:rPr>
          <w:rFonts w:cs="Arial"/>
          <w:b/>
        </w:rPr>
        <w:t>Commissioned Services</w:t>
      </w:r>
      <w:r w:rsidR="00CB7869" w:rsidRPr="00105639">
        <w:rPr>
          <w:rFonts w:cs="Arial"/>
          <w:b/>
        </w:rPr>
        <w:t xml:space="preserve"> </w:t>
      </w:r>
      <w:r w:rsidR="00CB7869" w:rsidRPr="00105639">
        <w:rPr>
          <w:rFonts w:cs="Arial"/>
          <w:bCs/>
        </w:rPr>
        <w:t xml:space="preserve">– </w:t>
      </w:r>
      <w:r w:rsidR="00A36B2C" w:rsidRPr="00105639">
        <w:rPr>
          <w:rFonts w:cs="Arial"/>
          <w:bCs/>
        </w:rPr>
        <w:t>£</w:t>
      </w:r>
      <w:r w:rsidR="00105639" w:rsidRPr="00105639">
        <w:rPr>
          <w:rFonts w:cs="Arial"/>
          <w:bCs/>
        </w:rPr>
        <w:t>97</w:t>
      </w:r>
      <w:r w:rsidR="00A36B2C" w:rsidRPr="00105639">
        <w:rPr>
          <w:rFonts w:cs="Arial"/>
          <w:bCs/>
        </w:rPr>
        <w:t xml:space="preserve">k </w:t>
      </w:r>
      <w:r w:rsidR="00CB7869" w:rsidRPr="00105639">
        <w:rPr>
          <w:rFonts w:cs="Arial"/>
          <w:bCs/>
        </w:rPr>
        <w:t>net overspend signers and interpreters</w:t>
      </w:r>
      <w:r w:rsidR="00105639" w:rsidRPr="00105639">
        <w:rPr>
          <w:rFonts w:cs="Arial"/>
          <w:bCs/>
        </w:rPr>
        <w:t xml:space="preserve"> and legal costs in relation to court proceedings.</w:t>
      </w:r>
      <w:r w:rsidR="00CB7869" w:rsidRPr="00105639">
        <w:rPr>
          <w:rFonts w:cs="Arial"/>
          <w:bCs/>
        </w:rPr>
        <w:t xml:space="preserve"> </w:t>
      </w:r>
    </w:p>
    <w:p w14:paraId="4CD877C1" w14:textId="1E96FDD8" w:rsidR="006001C7" w:rsidRPr="006160A2" w:rsidRDefault="006001C7" w:rsidP="006001C7">
      <w:pPr>
        <w:pStyle w:val="ListParagraph"/>
        <w:ind w:left="1276"/>
        <w:jc w:val="both"/>
        <w:rPr>
          <w:rFonts w:cs="Arial"/>
          <w:b/>
          <w:color w:val="FF0000"/>
        </w:rPr>
      </w:pPr>
    </w:p>
    <w:p w14:paraId="5917AAD9" w14:textId="37C6F5F4" w:rsidR="00535A36" w:rsidRPr="00201501" w:rsidRDefault="00535A36" w:rsidP="00AF06B3">
      <w:pPr>
        <w:pStyle w:val="ListParagraph"/>
        <w:numPr>
          <w:ilvl w:val="1"/>
          <w:numId w:val="4"/>
        </w:numPr>
        <w:ind w:left="1276"/>
        <w:jc w:val="both"/>
        <w:rPr>
          <w:rFonts w:cs="Arial"/>
          <w:b/>
        </w:rPr>
      </w:pPr>
      <w:r w:rsidRPr="00105639">
        <w:rPr>
          <w:rFonts w:cs="Arial"/>
          <w:b/>
        </w:rPr>
        <w:t xml:space="preserve">Early Support Services </w:t>
      </w:r>
      <w:r w:rsidRPr="00105639">
        <w:rPr>
          <w:rFonts w:cs="Arial"/>
          <w:bCs/>
        </w:rPr>
        <w:t>- £</w:t>
      </w:r>
      <w:r w:rsidR="00105639" w:rsidRPr="00105639">
        <w:rPr>
          <w:rFonts w:cs="Arial"/>
          <w:bCs/>
        </w:rPr>
        <w:t>70</w:t>
      </w:r>
      <w:r w:rsidRPr="00105639">
        <w:rPr>
          <w:rFonts w:cs="Arial"/>
          <w:bCs/>
        </w:rPr>
        <w:t xml:space="preserve">k net </w:t>
      </w:r>
      <w:r w:rsidR="00105639" w:rsidRPr="00105639">
        <w:rPr>
          <w:rFonts w:cs="Arial"/>
          <w:bCs/>
        </w:rPr>
        <w:t>und</w:t>
      </w:r>
      <w:r w:rsidRPr="00105639">
        <w:rPr>
          <w:rFonts w:cs="Arial"/>
          <w:bCs/>
        </w:rPr>
        <w:t xml:space="preserve">erspend related </w:t>
      </w:r>
      <w:r w:rsidR="00105639" w:rsidRPr="00105639">
        <w:rPr>
          <w:rFonts w:cs="Arial"/>
          <w:bCs/>
        </w:rPr>
        <w:t>vacancies and reduced operational costs</w:t>
      </w:r>
    </w:p>
    <w:p w14:paraId="4C788D40" w14:textId="77777777" w:rsidR="00201501" w:rsidRPr="00201501" w:rsidRDefault="00201501" w:rsidP="00201501">
      <w:pPr>
        <w:pStyle w:val="ListParagraph"/>
        <w:rPr>
          <w:rFonts w:cs="Arial"/>
          <w:b/>
        </w:rPr>
      </w:pPr>
    </w:p>
    <w:p w14:paraId="66D675F8" w14:textId="1F058780" w:rsidR="00201501" w:rsidRPr="00201501" w:rsidRDefault="00201501" w:rsidP="00AF06B3">
      <w:pPr>
        <w:pStyle w:val="ListParagraph"/>
        <w:numPr>
          <w:ilvl w:val="1"/>
          <w:numId w:val="4"/>
        </w:numPr>
        <w:ind w:left="1276"/>
        <w:jc w:val="both"/>
        <w:rPr>
          <w:rFonts w:cs="Arial"/>
          <w:b/>
        </w:rPr>
      </w:pPr>
      <w:r>
        <w:rPr>
          <w:rFonts w:cs="Arial"/>
          <w:b/>
        </w:rPr>
        <w:t>Client Related Spend</w:t>
      </w:r>
      <w:r>
        <w:rPr>
          <w:rFonts w:cs="Arial"/>
          <w:bCs/>
        </w:rPr>
        <w:t xml:space="preserve"> - £106k net underspend on costs to support </w:t>
      </w:r>
      <w:r w:rsidRPr="00201501">
        <w:rPr>
          <w:rFonts w:cs="Arial"/>
          <w:bCs/>
        </w:rPr>
        <w:t xml:space="preserve">families with children subject to a Child Protection or Child in Need plan. </w:t>
      </w:r>
    </w:p>
    <w:p w14:paraId="6F6B398B" w14:textId="77777777" w:rsidR="006001C7" w:rsidRPr="00201501" w:rsidRDefault="006001C7" w:rsidP="006001C7">
      <w:pPr>
        <w:pStyle w:val="ListParagraph"/>
        <w:ind w:left="1276"/>
        <w:jc w:val="both"/>
        <w:rPr>
          <w:rFonts w:cs="Arial"/>
          <w:b/>
        </w:rPr>
      </w:pPr>
    </w:p>
    <w:p w14:paraId="3B78DA21" w14:textId="7706D0A7" w:rsidR="00CB7869" w:rsidRPr="00201501" w:rsidRDefault="00CB7869" w:rsidP="00AF06B3">
      <w:pPr>
        <w:pStyle w:val="ListParagraph"/>
        <w:numPr>
          <w:ilvl w:val="1"/>
          <w:numId w:val="4"/>
        </w:numPr>
        <w:ind w:left="1276"/>
        <w:jc w:val="both"/>
        <w:rPr>
          <w:rFonts w:cs="Arial"/>
          <w:b/>
        </w:rPr>
      </w:pPr>
      <w:r w:rsidRPr="00201501">
        <w:rPr>
          <w:rFonts w:cs="Arial"/>
          <w:b/>
        </w:rPr>
        <w:t xml:space="preserve">Other </w:t>
      </w:r>
      <w:r w:rsidR="00201501" w:rsidRPr="00201501">
        <w:rPr>
          <w:rFonts w:cs="Arial"/>
          <w:b/>
        </w:rPr>
        <w:t>underspends</w:t>
      </w:r>
      <w:r w:rsidRPr="00201501">
        <w:rPr>
          <w:rFonts w:cs="Arial"/>
          <w:bCs/>
        </w:rPr>
        <w:t xml:space="preserve"> - £</w:t>
      </w:r>
      <w:r w:rsidR="00201501" w:rsidRPr="00201501">
        <w:rPr>
          <w:rFonts w:cs="Arial"/>
          <w:bCs/>
        </w:rPr>
        <w:t>45</w:t>
      </w:r>
      <w:r w:rsidRPr="00201501">
        <w:rPr>
          <w:rFonts w:cs="Arial"/>
          <w:bCs/>
        </w:rPr>
        <w:t xml:space="preserve">k net </w:t>
      </w:r>
      <w:r w:rsidR="00201501" w:rsidRPr="00201501">
        <w:rPr>
          <w:rFonts w:cs="Arial"/>
          <w:bCs/>
        </w:rPr>
        <w:t>und</w:t>
      </w:r>
      <w:r w:rsidRPr="00201501">
        <w:rPr>
          <w:rFonts w:cs="Arial"/>
          <w:bCs/>
        </w:rPr>
        <w:t xml:space="preserve">erspend </w:t>
      </w:r>
      <w:r w:rsidR="00201501" w:rsidRPr="00201501">
        <w:rPr>
          <w:rFonts w:cs="Arial"/>
          <w:bCs/>
        </w:rPr>
        <w:t>mainly in relation to interagency adoption costs.</w:t>
      </w:r>
    </w:p>
    <w:p w14:paraId="25B8BA97" w14:textId="77777777" w:rsidR="006001C7" w:rsidRPr="00201501" w:rsidRDefault="006001C7" w:rsidP="006001C7">
      <w:pPr>
        <w:pStyle w:val="ListParagraph"/>
        <w:ind w:left="1276"/>
        <w:jc w:val="both"/>
        <w:rPr>
          <w:rFonts w:cs="Arial"/>
          <w:b/>
        </w:rPr>
      </w:pPr>
    </w:p>
    <w:p w14:paraId="2835047A" w14:textId="2DE44BB8" w:rsidR="00CB7869" w:rsidRPr="00201501" w:rsidRDefault="00CB7869" w:rsidP="00AF06B3">
      <w:pPr>
        <w:pStyle w:val="ListParagraph"/>
        <w:numPr>
          <w:ilvl w:val="1"/>
          <w:numId w:val="4"/>
        </w:numPr>
        <w:ind w:left="1276"/>
        <w:jc w:val="both"/>
        <w:rPr>
          <w:rFonts w:cs="Arial"/>
          <w:b/>
        </w:rPr>
      </w:pPr>
      <w:r w:rsidRPr="00201501">
        <w:rPr>
          <w:rFonts w:cs="Arial"/>
          <w:b/>
        </w:rPr>
        <w:t>Draw down from reserves</w:t>
      </w:r>
      <w:r w:rsidRPr="00201501">
        <w:rPr>
          <w:rFonts w:cs="Arial"/>
          <w:bCs/>
        </w:rPr>
        <w:t xml:space="preserve"> - £</w:t>
      </w:r>
      <w:r w:rsidR="00201501" w:rsidRPr="00201501">
        <w:rPr>
          <w:rFonts w:cs="Arial"/>
          <w:bCs/>
        </w:rPr>
        <w:t>559k</w:t>
      </w:r>
      <w:r w:rsidR="00201501">
        <w:rPr>
          <w:rFonts w:cs="Arial"/>
          <w:bCs/>
        </w:rPr>
        <w:t xml:space="preserve"> net</w:t>
      </w:r>
      <w:r w:rsidRPr="00201501">
        <w:rPr>
          <w:rFonts w:cs="Arial"/>
          <w:bCs/>
        </w:rPr>
        <w:t xml:space="preserve"> draw down to partially mitigate pressures</w:t>
      </w:r>
    </w:p>
    <w:p w14:paraId="7B8C537F" w14:textId="77777777" w:rsidR="006001C7" w:rsidRPr="00201501" w:rsidRDefault="006001C7" w:rsidP="006001C7">
      <w:pPr>
        <w:pStyle w:val="ListParagraph"/>
        <w:ind w:left="1276"/>
        <w:jc w:val="both"/>
        <w:rPr>
          <w:rFonts w:cs="Arial"/>
          <w:b/>
        </w:rPr>
      </w:pPr>
    </w:p>
    <w:p w14:paraId="7808E99E" w14:textId="111F462D" w:rsidR="00CB7869" w:rsidRPr="007235F3" w:rsidRDefault="00CB7869" w:rsidP="00AF06B3">
      <w:pPr>
        <w:pStyle w:val="ListParagraph"/>
        <w:numPr>
          <w:ilvl w:val="1"/>
          <w:numId w:val="4"/>
        </w:numPr>
        <w:ind w:left="1276"/>
        <w:jc w:val="both"/>
        <w:rPr>
          <w:rFonts w:cs="Arial"/>
          <w:b/>
        </w:rPr>
      </w:pPr>
      <w:r w:rsidRPr="00201501">
        <w:rPr>
          <w:rFonts w:cs="Arial"/>
          <w:b/>
        </w:rPr>
        <w:t xml:space="preserve">Use of </w:t>
      </w:r>
      <w:r w:rsidR="00751C64" w:rsidRPr="00201501">
        <w:rPr>
          <w:rFonts w:cs="Arial"/>
          <w:b/>
        </w:rPr>
        <w:t>one-off</w:t>
      </w:r>
      <w:r w:rsidRPr="00201501">
        <w:rPr>
          <w:rFonts w:cs="Arial"/>
          <w:b/>
        </w:rPr>
        <w:t xml:space="preserve"> income</w:t>
      </w:r>
      <w:r w:rsidRPr="00201501">
        <w:rPr>
          <w:rFonts w:cs="Arial"/>
          <w:bCs/>
        </w:rPr>
        <w:t xml:space="preserve"> - £</w:t>
      </w:r>
      <w:r w:rsidR="00201501" w:rsidRPr="00201501">
        <w:rPr>
          <w:rFonts w:cs="Arial"/>
          <w:bCs/>
        </w:rPr>
        <w:t>575</w:t>
      </w:r>
      <w:r w:rsidRPr="00201501">
        <w:rPr>
          <w:rFonts w:cs="Arial"/>
          <w:bCs/>
        </w:rPr>
        <w:t>k to partially mitigate pressures</w:t>
      </w:r>
    </w:p>
    <w:p w14:paraId="16A8CE8B" w14:textId="77777777" w:rsidR="007235F3" w:rsidRPr="007235F3" w:rsidRDefault="007235F3" w:rsidP="007235F3">
      <w:pPr>
        <w:pStyle w:val="ListParagraph"/>
        <w:rPr>
          <w:rFonts w:cs="Arial"/>
          <w:b/>
        </w:rPr>
      </w:pPr>
    </w:p>
    <w:p w14:paraId="731C182B" w14:textId="51B7701E" w:rsidR="00951BDC" w:rsidRPr="00B65073" w:rsidRDefault="00951BDC" w:rsidP="00AF06B3">
      <w:pPr>
        <w:pStyle w:val="ListParagraph"/>
        <w:numPr>
          <w:ilvl w:val="0"/>
          <w:numId w:val="4"/>
        </w:numPr>
        <w:ind w:left="460" w:hanging="567"/>
        <w:jc w:val="both"/>
        <w:rPr>
          <w:rFonts w:cs="Arial"/>
          <w:b/>
          <w:bCs/>
        </w:rPr>
      </w:pPr>
      <w:r w:rsidRPr="00B65073">
        <w:rPr>
          <w:rFonts w:cs="Arial"/>
          <w:b/>
          <w:bCs/>
        </w:rPr>
        <w:t>Education Services</w:t>
      </w:r>
      <w:r w:rsidR="0034115E" w:rsidRPr="00B65073">
        <w:rPr>
          <w:rFonts w:cs="Arial"/>
          <w:b/>
          <w:bCs/>
        </w:rPr>
        <w:t xml:space="preserve"> -</w:t>
      </w:r>
      <w:r w:rsidR="0034115E" w:rsidRPr="00B65073">
        <w:rPr>
          <w:rFonts w:cs="Arial"/>
        </w:rPr>
        <w:t xml:space="preserve"> £</w:t>
      </w:r>
      <w:r w:rsidR="00B65073" w:rsidRPr="00B65073">
        <w:rPr>
          <w:rFonts w:cs="Arial"/>
        </w:rPr>
        <w:t>632</w:t>
      </w:r>
      <w:r w:rsidR="0034115E" w:rsidRPr="00B65073">
        <w:rPr>
          <w:rFonts w:cs="Arial"/>
        </w:rPr>
        <w:t xml:space="preserve">k net </w:t>
      </w:r>
      <w:r w:rsidR="005F37F9" w:rsidRPr="00B65073">
        <w:rPr>
          <w:rFonts w:cs="Arial"/>
        </w:rPr>
        <w:t>und</w:t>
      </w:r>
      <w:r w:rsidR="0034115E" w:rsidRPr="00B65073">
        <w:rPr>
          <w:rFonts w:cs="Arial"/>
        </w:rPr>
        <w:t>erspend</w:t>
      </w:r>
    </w:p>
    <w:p w14:paraId="2A71CAF1" w14:textId="63083685" w:rsidR="00951BDC" w:rsidRPr="00B65073" w:rsidRDefault="00B94016" w:rsidP="008C6B1B">
      <w:pPr>
        <w:pStyle w:val="ListParagraph"/>
        <w:numPr>
          <w:ilvl w:val="1"/>
          <w:numId w:val="4"/>
        </w:numPr>
        <w:ind w:left="1276" w:hanging="425"/>
        <w:jc w:val="both"/>
        <w:rPr>
          <w:rFonts w:cs="Arial"/>
          <w:b/>
        </w:rPr>
      </w:pPr>
      <w:r w:rsidRPr="00B65073">
        <w:rPr>
          <w:rFonts w:cs="Arial"/>
          <w:b/>
        </w:rPr>
        <w:lastRenderedPageBreak/>
        <w:t xml:space="preserve">SEN Transport </w:t>
      </w:r>
      <w:r w:rsidR="00AF59F9" w:rsidRPr="00B65073">
        <w:rPr>
          <w:rFonts w:cs="Arial"/>
          <w:bCs/>
        </w:rPr>
        <w:t xml:space="preserve">– </w:t>
      </w:r>
      <w:r w:rsidR="00B65073" w:rsidRPr="00B65073">
        <w:rPr>
          <w:rFonts w:cs="Arial"/>
          <w:bCs/>
        </w:rPr>
        <w:t>£322</w:t>
      </w:r>
      <w:r w:rsidR="0034115E" w:rsidRPr="00B65073">
        <w:rPr>
          <w:rFonts w:cs="Arial"/>
          <w:bCs/>
        </w:rPr>
        <w:t xml:space="preserve">k </w:t>
      </w:r>
      <w:r w:rsidR="00AF59F9" w:rsidRPr="00B65073">
        <w:rPr>
          <w:rFonts w:cs="Arial"/>
          <w:bCs/>
        </w:rPr>
        <w:t>net</w:t>
      </w:r>
      <w:r w:rsidRPr="00B65073">
        <w:rPr>
          <w:rFonts w:cs="Arial"/>
          <w:bCs/>
        </w:rPr>
        <w:t xml:space="preserve"> </w:t>
      </w:r>
      <w:r w:rsidR="00B65073" w:rsidRPr="00B65073">
        <w:rPr>
          <w:rFonts w:cs="Arial"/>
          <w:bCs/>
        </w:rPr>
        <w:t>und</w:t>
      </w:r>
      <w:r w:rsidRPr="00B65073">
        <w:rPr>
          <w:rFonts w:cs="Arial"/>
          <w:bCs/>
        </w:rPr>
        <w:t>erspend</w:t>
      </w:r>
      <w:r w:rsidR="00AF59F9" w:rsidRPr="00B65073">
        <w:rPr>
          <w:rFonts w:cs="Arial"/>
          <w:bCs/>
        </w:rPr>
        <w:t xml:space="preserve"> </w:t>
      </w:r>
      <w:r w:rsidR="0034115E" w:rsidRPr="00B65073">
        <w:rPr>
          <w:rFonts w:cs="Arial"/>
          <w:bCs/>
        </w:rPr>
        <w:t xml:space="preserve">due </w:t>
      </w:r>
      <w:r w:rsidR="005F37F9" w:rsidRPr="00B65073">
        <w:rPr>
          <w:rFonts w:cs="Arial"/>
          <w:bCs/>
        </w:rPr>
        <w:t xml:space="preserve">to </w:t>
      </w:r>
      <w:r w:rsidR="00B65073" w:rsidRPr="00B65073">
        <w:rPr>
          <w:rFonts w:cs="Arial"/>
          <w:bCs/>
        </w:rPr>
        <w:t>net benefit from Harrow and Brent route share recharges</w:t>
      </w:r>
      <w:r w:rsidR="0034115E" w:rsidRPr="00B65073">
        <w:rPr>
          <w:rFonts w:cs="Arial"/>
          <w:bCs/>
        </w:rPr>
        <w:t xml:space="preserve"> </w:t>
      </w:r>
    </w:p>
    <w:p w14:paraId="3B531188" w14:textId="77777777" w:rsidR="006001C7" w:rsidRPr="00B65073" w:rsidRDefault="006001C7" w:rsidP="006001C7">
      <w:pPr>
        <w:pStyle w:val="ListParagraph"/>
        <w:ind w:left="1276"/>
        <w:jc w:val="both"/>
        <w:rPr>
          <w:rFonts w:cs="Arial"/>
          <w:b/>
          <w:bCs/>
        </w:rPr>
      </w:pPr>
    </w:p>
    <w:p w14:paraId="4668C358" w14:textId="22D66180" w:rsidR="00951BDC" w:rsidRPr="00362372" w:rsidRDefault="00951BDC" w:rsidP="00AF06B3">
      <w:pPr>
        <w:pStyle w:val="ListParagraph"/>
        <w:numPr>
          <w:ilvl w:val="1"/>
          <w:numId w:val="4"/>
        </w:numPr>
        <w:ind w:left="1276" w:hanging="425"/>
        <w:jc w:val="both"/>
        <w:rPr>
          <w:rFonts w:cs="Arial"/>
          <w:b/>
          <w:bCs/>
        </w:rPr>
      </w:pPr>
      <w:r w:rsidRPr="00B65073">
        <w:rPr>
          <w:rFonts w:cs="Arial"/>
          <w:b/>
        </w:rPr>
        <w:t xml:space="preserve">Other Education Services </w:t>
      </w:r>
      <w:r w:rsidRPr="00B65073">
        <w:rPr>
          <w:rFonts w:cs="Arial"/>
          <w:bCs/>
        </w:rPr>
        <w:t>– net underspend £</w:t>
      </w:r>
      <w:r w:rsidR="00B65073" w:rsidRPr="00B65073">
        <w:rPr>
          <w:rFonts w:cs="Arial"/>
          <w:bCs/>
        </w:rPr>
        <w:t>310</w:t>
      </w:r>
      <w:r w:rsidR="0034115E" w:rsidRPr="00B65073">
        <w:rPr>
          <w:rFonts w:cs="Arial"/>
          <w:bCs/>
        </w:rPr>
        <w:t>k</w:t>
      </w:r>
      <w:r w:rsidRPr="00B65073">
        <w:rPr>
          <w:rFonts w:cs="Arial"/>
        </w:rPr>
        <w:t xml:space="preserve"> mainly due to </w:t>
      </w:r>
      <w:r w:rsidR="00751C64" w:rsidRPr="00362372">
        <w:rPr>
          <w:rFonts w:cs="Arial"/>
        </w:rPr>
        <w:t>additional SLA</w:t>
      </w:r>
      <w:r w:rsidR="0034115E" w:rsidRPr="00362372">
        <w:rPr>
          <w:rFonts w:cs="Arial"/>
        </w:rPr>
        <w:t xml:space="preserve"> income</w:t>
      </w:r>
      <w:r w:rsidR="005F37F9" w:rsidRPr="00362372">
        <w:rPr>
          <w:rFonts w:cs="Arial"/>
        </w:rPr>
        <w:t xml:space="preserve"> and vacancies due to difficulty recruiting key posts</w:t>
      </w:r>
    </w:p>
    <w:p w14:paraId="285FCFA7" w14:textId="77777777" w:rsidR="00951BDC" w:rsidRPr="00362372" w:rsidRDefault="00951BDC" w:rsidP="00951BDC">
      <w:pPr>
        <w:pStyle w:val="ListParagraph"/>
        <w:rPr>
          <w:rFonts w:cs="Arial"/>
          <w:b/>
        </w:rPr>
      </w:pPr>
    </w:p>
    <w:p w14:paraId="4FDFEF0B" w14:textId="5D4A1B86" w:rsidR="00542808" w:rsidRPr="00362372" w:rsidRDefault="00951BDC" w:rsidP="00AF06B3">
      <w:pPr>
        <w:pStyle w:val="ListParagraph"/>
        <w:numPr>
          <w:ilvl w:val="0"/>
          <w:numId w:val="4"/>
        </w:numPr>
        <w:suppressAutoHyphens/>
        <w:ind w:left="460" w:hanging="567"/>
        <w:jc w:val="both"/>
        <w:rPr>
          <w:rFonts w:cs="Arial"/>
          <w:b/>
          <w:szCs w:val="24"/>
        </w:rPr>
      </w:pPr>
      <w:r w:rsidRPr="00362372">
        <w:rPr>
          <w:rFonts w:cs="Arial"/>
          <w:b/>
        </w:rPr>
        <w:t>Commissioning &amp; People</w:t>
      </w:r>
      <w:r w:rsidR="00B60857" w:rsidRPr="00362372">
        <w:rPr>
          <w:rFonts w:cs="Arial"/>
          <w:b/>
        </w:rPr>
        <w:t xml:space="preserve"> Services</w:t>
      </w:r>
      <w:r w:rsidRPr="00362372">
        <w:rPr>
          <w:rFonts w:cs="Arial"/>
          <w:b/>
        </w:rPr>
        <w:t xml:space="preserve"> Management </w:t>
      </w:r>
      <w:r w:rsidRPr="00362372">
        <w:rPr>
          <w:rFonts w:cs="Arial"/>
          <w:bCs/>
        </w:rPr>
        <w:t xml:space="preserve">– </w:t>
      </w:r>
      <w:r w:rsidR="00B60857" w:rsidRPr="00362372">
        <w:rPr>
          <w:rFonts w:cs="Arial"/>
          <w:bCs/>
        </w:rPr>
        <w:t>£</w:t>
      </w:r>
      <w:r w:rsidR="00B65073" w:rsidRPr="00362372">
        <w:rPr>
          <w:rFonts w:cs="Arial"/>
          <w:bCs/>
        </w:rPr>
        <w:t>44</w:t>
      </w:r>
      <w:r w:rsidR="00B60857" w:rsidRPr="00362372">
        <w:rPr>
          <w:rFonts w:cs="Arial"/>
          <w:bCs/>
        </w:rPr>
        <w:t xml:space="preserve">k </w:t>
      </w:r>
      <w:r w:rsidRPr="00362372">
        <w:rPr>
          <w:rFonts w:cs="Arial"/>
          <w:bCs/>
        </w:rPr>
        <w:t>net</w:t>
      </w:r>
      <w:r w:rsidR="007C00E4" w:rsidRPr="00362372">
        <w:rPr>
          <w:rFonts w:cs="Arial"/>
          <w:bCs/>
        </w:rPr>
        <w:t xml:space="preserve"> </w:t>
      </w:r>
      <w:r w:rsidR="00751C64" w:rsidRPr="00362372">
        <w:rPr>
          <w:rFonts w:cs="Arial"/>
          <w:bCs/>
        </w:rPr>
        <w:t>overspend. This</w:t>
      </w:r>
      <w:r w:rsidR="00B60857" w:rsidRPr="00362372">
        <w:rPr>
          <w:rFonts w:cs="Arial"/>
          <w:bCs/>
        </w:rPr>
        <w:t xml:space="preserve"> relates to a reduction in grant income £</w:t>
      </w:r>
      <w:r w:rsidR="00B65073" w:rsidRPr="00362372">
        <w:rPr>
          <w:rFonts w:cs="Arial"/>
          <w:bCs/>
        </w:rPr>
        <w:t>41</w:t>
      </w:r>
      <w:r w:rsidR="00B60857" w:rsidRPr="00362372">
        <w:rPr>
          <w:rFonts w:cs="Arial"/>
          <w:bCs/>
        </w:rPr>
        <w:t>k, staffing pressures in relation to the Mosaic Team</w:t>
      </w:r>
      <w:r w:rsidR="00C82D13" w:rsidRPr="00362372">
        <w:rPr>
          <w:rFonts w:cs="Arial"/>
          <w:bCs/>
        </w:rPr>
        <w:t xml:space="preserve"> £</w:t>
      </w:r>
      <w:r w:rsidR="00B65073" w:rsidRPr="00362372">
        <w:rPr>
          <w:rFonts w:cs="Arial"/>
          <w:bCs/>
        </w:rPr>
        <w:t>69</w:t>
      </w:r>
      <w:r w:rsidR="00C82D13" w:rsidRPr="00362372">
        <w:rPr>
          <w:rFonts w:cs="Arial"/>
          <w:bCs/>
        </w:rPr>
        <w:t>k</w:t>
      </w:r>
      <w:r w:rsidR="00B60857" w:rsidRPr="00362372">
        <w:rPr>
          <w:rFonts w:cs="Arial"/>
          <w:bCs/>
        </w:rPr>
        <w:t xml:space="preserve"> and shortfall in income in the Safeguarding Team</w:t>
      </w:r>
      <w:r w:rsidR="00C82D13" w:rsidRPr="00362372">
        <w:rPr>
          <w:rFonts w:cs="Arial"/>
          <w:bCs/>
        </w:rPr>
        <w:t xml:space="preserve"> £</w:t>
      </w:r>
      <w:r w:rsidR="00B65073" w:rsidRPr="00362372">
        <w:rPr>
          <w:rFonts w:cs="Arial"/>
          <w:bCs/>
        </w:rPr>
        <w:t>10</w:t>
      </w:r>
      <w:r w:rsidR="00C82D13" w:rsidRPr="00362372">
        <w:rPr>
          <w:rFonts w:cs="Arial"/>
          <w:bCs/>
        </w:rPr>
        <w:t>k, partially offset by vacancies in the Commission</w:t>
      </w:r>
      <w:r w:rsidR="002C65CE" w:rsidRPr="00362372">
        <w:rPr>
          <w:rFonts w:cs="Arial"/>
          <w:bCs/>
        </w:rPr>
        <w:t>in</w:t>
      </w:r>
      <w:r w:rsidR="00C82D13" w:rsidRPr="00362372">
        <w:rPr>
          <w:rFonts w:cs="Arial"/>
          <w:bCs/>
        </w:rPr>
        <w:t>g Team £</w:t>
      </w:r>
      <w:r w:rsidR="00B65073" w:rsidRPr="00362372">
        <w:rPr>
          <w:rFonts w:cs="Arial"/>
          <w:bCs/>
        </w:rPr>
        <w:t>69</w:t>
      </w:r>
      <w:r w:rsidR="00C82D13" w:rsidRPr="00362372">
        <w:rPr>
          <w:rFonts w:cs="Arial"/>
          <w:bCs/>
        </w:rPr>
        <w:t>k</w:t>
      </w:r>
    </w:p>
    <w:p w14:paraId="745F4D14" w14:textId="77777777" w:rsidR="00542808" w:rsidRPr="00362372" w:rsidRDefault="00542808" w:rsidP="00542808">
      <w:pPr>
        <w:pStyle w:val="ListParagraph"/>
        <w:suppressAutoHyphens/>
        <w:ind w:left="460"/>
        <w:jc w:val="both"/>
        <w:rPr>
          <w:rFonts w:cs="Arial"/>
          <w:b/>
          <w:szCs w:val="24"/>
        </w:rPr>
      </w:pPr>
    </w:p>
    <w:p w14:paraId="379FCB9A" w14:textId="5CE26591" w:rsidR="00542808" w:rsidRPr="00362372" w:rsidRDefault="00542808" w:rsidP="00AF06B3">
      <w:pPr>
        <w:pStyle w:val="ListParagraph"/>
        <w:numPr>
          <w:ilvl w:val="0"/>
          <w:numId w:val="4"/>
        </w:numPr>
        <w:suppressAutoHyphens/>
        <w:ind w:left="460" w:hanging="567"/>
        <w:jc w:val="both"/>
        <w:rPr>
          <w:rFonts w:cs="Arial"/>
          <w:b/>
          <w:szCs w:val="24"/>
        </w:rPr>
      </w:pPr>
      <w:r w:rsidRPr="00362372">
        <w:rPr>
          <w:rFonts w:cs="Arial"/>
          <w:b/>
          <w:szCs w:val="24"/>
        </w:rPr>
        <w:t>Dedicated Schools Grant</w:t>
      </w:r>
    </w:p>
    <w:p w14:paraId="6388318C" w14:textId="77777777" w:rsidR="00542808" w:rsidRPr="00362372" w:rsidRDefault="00542808" w:rsidP="00542808">
      <w:pPr>
        <w:pStyle w:val="ListParagraph"/>
        <w:suppressAutoHyphens/>
        <w:ind w:left="460"/>
        <w:jc w:val="both"/>
        <w:rPr>
          <w:rFonts w:cs="Arial"/>
          <w:b/>
          <w:szCs w:val="24"/>
        </w:rPr>
      </w:pPr>
    </w:p>
    <w:p w14:paraId="4F15D122" w14:textId="6DA3F7B4" w:rsidR="00542808" w:rsidRPr="00362372" w:rsidRDefault="00EA30B3" w:rsidP="00AF06B3">
      <w:pPr>
        <w:pStyle w:val="ListParagraph"/>
        <w:numPr>
          <w:ilvl w:val="0"/>
          <w:numId w:val="4"/>
        </w:numPr>
        <w:suppressAutoHyphens/>
        <w:ind w:left="426" w:hanging="567"/>
        <w:jc w:val="both"/>
        <w:rPr>
          <w:rFonts w:cs="Arial"/>
        </w:rPr>
      </w:pPr>
      <w:r w:rsidRPr="00362372">
        <w:rPr>
          <w:rFonts w:cs="Arial"/>
          <w:szCs w:val="24"/>
        </w:rPr>
        <w:t>The Dedicated</w:t>
      </w:r>
      <w:r w:rsidR="00DC7888" w:rsidRPr="00362372">
        <w:rPr>
          <w:rFonts w:cs="Arial"/>
          <w:szCs w:val="24"/>
        </w:rPr>
        <w:t xml:space="preserve"> Schools Grant (DSG) is a ring-fenced grant of which the maj</w:t>
      </w:r>
      <w:r w:rsidR="00B60857" w:rsidRPr="00362372">
        <w:rPr>
          <w:rFonts w:cs="Arial"/>
          <w:szCs w:val="24"/>
        </w:rPr>
        <w:t>o</w:t>
      </w:r>
      <w:r w:rsidR="00DC7888" w:rsidRPr="00362372">
        <w:rPr>
          <w:rFonts w:cs="Arial"/>
          <w:szCs w:val="24"/>
        </w:rPr>
        <w:t xml:space="preserve">rity is used to fund individual school budgets in maintained schools, </w:t>
      </w:r>
      <w:r w:rsidR="00751C64" w:rsidRPr="00362372">
        <w:rPr>
          <w:rFonts w:cs="Arial"/>
          <w:szCs w:val="24"/>
        </w:rPr>
        <w:t>academies,</w:t>
      </w:r>
      <w:r w:rsidR="00DC7888" w:rsidRPr="00362372">
        <w:rPr>
          <w:rFonts w:cs="Arial"/>
          <w:szCs w:val="24"/>
        </w:rPr>
        <w:t xml:space="preserve"> and free schools in Harrow. It also funds Early Years nursery free entitlement places for </w:t>
      </w:r>
      <w:r w:rsidR="00751C64" w:rsidRPr="00362372">
        <w:rPr>
          <w:rFonts w:cs="Arial"/>
          <w:szCs w:val="24"/>
        </w:rPr>
        <w:t>2-, 3- and 4-year-olds</w:t>
      </w:r>
      <w:r w:rsidR="00DC7888" w:rsidRPr="00362372">
        <w:rPr>
          <w:rFonts w:cs="Arial"/>
          <w:szCs w:val="24"/>
        </w:rPr>
        <w:t xml:space="preserve"> in maintained council nursery classes and private, </w:t>
      </w:r>
      <w:r w:rsidR="00751C64" w:rsidRPr="00362372">
        <w:rPr>
          <w:rFonts w:cs="Arial"/>
          <w:szCs w:val="24"/>
        </w:rPr>
        <w:t>voluntary,</w:t>
      </w:r>
      <w:r w:rsidR="00DC7888" w:rsidRPr="00362372">
        <w:rPr>
          <w:rFonts w:cs="Arial"/>
          <w:szCs w:val="24"/>
        </w:rPr>
        <w:t xml:space="preserve"> and independent (PVI) nurseries as well as provision for pupils with High Needs</w:t>
      </w:r>
      <w:r w:rsidR="00542808" w:rsidRPr="00362372">
        <w:rPr>
          <w:rFonts w:cs="Arial"/>
          <w:szCs w:val="24"/>
        </w:rPr>
        <w:t>.</w:t>
      </w:r>
    </w:p>
    <w:p w14:paraId="53132469" w14:textId="77777777" w:rsidR="00EF5E0A" w:rsidRPr="00362372" w:rsidRDefault="00EF5E0A" w:rsidP="00EF5E0A">
      <w:pPr>
        <w:pStyle w:val="ListParagraph"/>
        <w:rPr>
          <w:rFonts w:cs="Arial"/>
        </w:rPr>
      </w:pPr>
    </w:p>
    <w:p w14:paraId="4662B052" w14:textId="1DB00BC5" w:rsidR="00EF5E0A" w:rsidRPr="00362372" w:rsidRDefault="00EF5E0A" w:rsidP="00AF06B3">
      <w:pPr>
        <w:pStyle w:val="ListParagraph"/>
        <w:numPr>
          <w:ilvl w:val="0"/>
          <w:numId w:val="4"/>
        </w:numPr>
        <w:suppressAutoHyphens/>
        <w:ind w:left="426" w:hanging="567"/>
        <w:jc w:val="both"/>
        <w:rPr>
          <w:rFonts w:cs="Arial"/>
        </w:rPr>
      </w:pPr>
      <w:r w:rsidRPr="00362372">
        <w:rPr>
          <w:rFonts w:cs="Arial"/>
        </w:rPr>
        <w:t xml:space="preserve">The final outturn on the High Needs Block is </w:t>
      </w:r>
      <w:r w:rsidR="008A47DD">
        <w:rPr>
          <w:rFonts w:cs="Arial"/>
        </w:rPr>
        <w:t xml:space="preserve">a </w:t>
      </w:r>
      <w:r w:rsidRPr="00362372">
        <w:rPr>
          <w:rFonts w:cs="Arial"/>
        </w:rPr>
        <w:t>net underspend of £1.384m. This will be transferred to the DSG Deficit Reserve and reduces the deficit balance from £4.007m brought forward from previous years, to £2.623m at the end of March 2023. The in-year underspend on the HNB is largely attributed to the addition of the High Needs Supplementary Gran</w:t>
      </w:r>
      <w:r w:rsidR="008A47DD">
        <w:rPr>
          <w:rFonts w:cs="Arial"/>
        </w:rPr>
        <w:t>t</w:t>
      </w:r>
      <w:r w:rsidRPr="00362372">
        <w:rPr>
          <w:rFonts w:cs="Arial"/>
        </w:rPr>
        <w:t xml:space="preserve"> </w:t>
      </w:r>
      <w:r w:rsidR="00362372" w:rsidRPr="00362372">
        <w:rPr>
          <w:rFonts w:cs="Arial"/>
        </w:rPr>
        <w:t>in 2022-23 totalling £1.6m as well as reduced spend on</w:t>
      </w:r>
      <w:r w:rsidR="006552F7">
        <w:rPr>
          <w:rFonts w:cs="Arial"/>
        </w:rPr>
        <w:t xml:space="preserve"> independent </w:t>
      </w:r>
      <w:r w:rsidR="00362372" w:rsidRPr="00362372">
        <w:rPr>
          <w:rFonts w:cs="Arial"/>
        </w:rPr>
        <w:t xml:space="preserve">provision due to expanding Kingsley High School from September 2022 to create 24 additional places for </w:t>
      </w:r>
      <w:r w:rsidR="00E42991" w:rsidRPr="00362372">
        <w:rPr>
          <w:rFonts w:cs="Arial"/>
        </w:rPr>
        <w:t>pupils</w:t>
      </w:r>
      <w:r w:rsidR="00362372" w:rsidRPr="00362372">
        <w:rPr>
          <w:rFonts w:cs="Arial"/>
        </w:rPr>
        <w:t xml:space="preserve"> severe learning difficulties.</w:t>
      </w:r>
      <w:r w:rsidRPr="00362372">
        <w:rPr>
          <w:rFonts w:cs="Arial"/>
        </w:rPr>
        <w:t xml:space="preserve"> </w:t>
      </w:r>
    </w:p>
    <w:p w14:paraId="3E299E82" w14:textId="77777777" w:rsidR="00542808" w:rsidRPr="00362372" w:rsidRDefault="00542808" w:rsidP="00542808">
      <w:pPr>
        <w:pStyle w:val="ListParagraph"/>
        <w:suppressAutoHyphens/>
        <w:ind w:left="426"/>
        <w:jc w:val="both"/>
        <w:rPr>
          <w:rFonts w:cs="Arial"/>
        </w:rPr>
      </w:pPr>
    </w:p>
    <w:p w14:paraId="3472CB21" w14:textId="5D626FDE" w:rsidR="00542808" w:rsidRPr="00362372" w:rsidRDefault="00542808" w:rsidP="00AF06B3">
      <w:pPr>
        <w:pStyle w:val="ListParagraph"/>
        <w:numPr>
          <w:ilvl w:val="0"/>
          <w:numId w:val="4"/>
        </w:numPr>
        <w:suppressAutoHyphens/>
        <w:ind w:left="426" w:hanging="567"/>
        <w:jc w:val="both"/>
        <w:rPr>
          <w:rFonts w:cs="Arial"/>
        </w:rPr>
      </w:pPr>
      <w:r w:rsidRPr="00362372">
        <w:rPr>
          <w:rFonts w:cs="Arial"/>
        </w:rPr>
        <w:t xml:space="preserve">Any deficits an authority may have on its DSG account is expected to be carried forward and does not allow or require a local authority to cover this from its general reserves. This </w:t>
      </w:r>
      <w:r w:rsidR="006001C7" w:rsidRPr="00362372">
        <w:rPr>
          <w:rFonts w:cs="Arial"/>
        </w:rPr>
        <w:t>arrangement has been extended for three years to March 2026</w:t>
      </w:r>
      <w:r w:rsidRPr="00362372">
        <w:rPr>
          <w:rFonts w:cs="Arial"/>
        </w:rPr>
        <w:t>.</w:t>
      </w:r>
    </w:p>
    <w:p w14:paraId="32E77819" w14:textId="77777777" w:rsidR="00542808" w:rsidRPr="00362372" w:rsidRDefault="00542808" w:rsidP="00542808">
      <w:pPr>
        <w:pStyle w:val="ListParagraph"/>
        <w:rPr>
          <w:rFonts w:cs="Arial"/>
        </w:rPr>
      </w:pPr>
    </w:p>
    <w:p w14:paraId="12AC2D97" w14:textId="5F84FC8B" w:rsidR="00542808" w:rsidRPr="00362372" w:rsidRDefault="00542808" w:rsidP="00AF06B3">
      <w:pPr>
        <w:pStyle w:val="ListParagraph"/>
        <w:numPr>
          <w:ilvl w:val="0"/>
          <w:numId w:val="4"/>
        </w:numPr>
        <w:suppressAutoHyphens/>
        <w:ind w:left="426" w:hanging="567"/>
        <w:jc w:val="both"/>
        <w:rPr>
          <w:rFonts w:cs="Arial"/>
        </w:rPr>
      </w:pPr>
      <w:r w:rsidRPr="00362372">
        <w:rPr>
          <w:rFonts w:cs="Arial"/>
        </w:rPr>
        <w:t>The DfE requires local authorities to explain their plans for bringing the DSG account back into balance. A recovery plan was drafted and discussed with Schools Forum in 202</w:t>
      </w:r>
      <w:r w:rsidR="00B24DC0" w:rsidRPr="00362372">
        <w:rPr>
          <w:rFonts w:cs="Arial"/>
        </w:rPr>
        <w:t>1</w:t>
      </w:r>
      <w:r w:rsidRPr="00362372">
        <w:rPr>
          <w:rFonts w:cs="Arial"/>
        </w:rPr>
        <w:t>. This now needs to be updated to take account of current numbers of EHCPs and revised EHCP and financial projections. Despite the significant proposals and measures planned over the next ten years, the Deficit Management Plan shows that this will not fully mitigate the deficit. This is due to the following contributory factors:</w:t>
      </w:r>
    </w:p>
    <w:p w14:paraId="725DA905" w14:textId="77777777" w:rsidR="00542808" w:rsidRPr="00362372" w:rsidRDefault="00542808" w:rsidP="00542808">
      <w:pPr>
        <w:pStyle w:val="ListParagraph"/>
        <w:suppressAutoHyphens/>
        <w:ind w:left="567"/>
        <w:rPr>
          <w:rFonts w:cs="Arial"/>
        </w:rPr>
      </w:pPr>
    </w:p>
    <w:p w14:paraId="0E2A1EFE" w14:textId="77777777" w:rsidR="00542808" w:rsidRPr="00362372" w:rsidRDefault="00542808" w:rsidP="00AF06B3">
      <w:pPr>
        <w:pStyle w:val="ListParagraph"/>
        <w:numPr>
          <w:ilvl w:val="0"/>
          <w:numId w:val="18"/>
        </w:numPr>
        <w:spacing w:after="200" w:line="276" w:lineRule="auto"/>
        <w:ind w:hanging="589"/>
        <w:contextualSpacing/>
        <w:rPr>
          <w:rFonts w:cs="Arial"/>
        </w:rPr>
      </w:pPr>
      <w:r w:rsidRPr="00362372">
        <w:rPr>
          <w:rFonts w:cs="Arial"/>
        </w:rPr>
        <w:t>historical underfunding</w:t>
      </w:r>
    </w:p>
    <w:p w14:paraId="00F39D04" w14:textId="70CEC71C" w:rsidR="00542808" w:rsidRPr="00362372" w:rsidRDefault="00362372" w:rsidP="00AF06B3">
      <w:pPr>
        <w:pStyle w:val="ListParagraph"/>
        <w:numPr>
          <w:ilvl w:val="0"/>
          <w:numId w:val="18"/>
        </w:numPr>
        <w:spacing w:after="200" w:line="276" w:lineRule="auto"/>
        <w:ind w:hanging="589"/>
        <w:contextualSpacing/>
        <w:rPr>
          <w:rFonts w:cs="Arial"/>
        </w:rPr>
      </w:pPr>
      <w:r w:rsidRPr="00362372">
        <w:rPr>
          <w:rFonts w:cs="Arial"/>
        </w:rPr>
        <w:t xml:space="preserve">proportion of </w:t>
      </w:r>
      <w:r w:rsidR="00542808" w:rsidRPr="00362372">
        <w:rPr>
          <w:rFonts w:cs="Arial"/>
        </w:rPr>
        <w:t>current budgets being based on historical budgets rather than historical spend</w:t>
      </w:r>
    </w:p>
    <w:p w14:paraId="1CDB5269" w14:textId="77777777" w:rsidR="00542808" w:rsidRPr="00362372" w:rsidRDefault="00542808" w:rsidP="00AF06B3">
      <w:pPr>
        <w:pStyle w:val="ListParagraph"/>
        <w:numPr>
          <w:ilvl w:val="0"/>
          <w:numId w:val="18"/>
        </w:numPr>
        <w:spacing w:after="200" w:line="276" w:lineRule="auto"/>
        <w:ind w:hanging="589"/>
        <w:contextualSpacing/>
        <w:rPr>
          <w:rFonts w:cs="Arial"/>
        </w:rPr>
      </w:pPr>
      <w:r w:rsidRPr="00362372">
        <w:rPr>
          <w:rFonts w:cs="Arial"/>
        </w:rPr>
        <w:t>extension of age range to include 0-5 and post 19</w:t>
      </w:r>
    </w:p>
    <w:p w14:paraId="24F54337" w14:textId="77777777" w:rsidR="00542808" w:rsidRPr="00362372" w:rsidRDefault="00542808" w:rsidP="00AF06B3">
      <w:pPr>
        <w:pStyle w:val="ListParagraph"/>
        <w:numPr>
          <w:ilvl w:val="0"/>
          <w:numId w:val="18"/>
        </w:numPr>
        <w:spacing w:after="200" w:line="276" w:lineRule="auto"/>
        <w:ind w:hanging="589"/>
        <w:contextualSpacing/>
        <w:rPr>
          <w:rFonts w:cs="Arial"/>
        </w:rPr>
      </w:pPr>
      <w:r w:rsidRPr="00362372">
        <w:rPr>
          <w:rFonts w:cs="Arial"/>
        </w:rPr>
        <w:t>current and projected formulaic funding which does not keep pace with demand</w:t>
      </w:r>
    </w:p>
    <w:p w14:paraId="70205561" w14:textId="77777777" w:rsidR="00542808" w:rsidRPr="00362372" w:rsidRDefault="00542808" w:rsidP="00AF06B3">
      <w:pPr>
        <w:pStyle w:val="ListParagraph"/>
        <w:numPr>
          <w:ilvl w:val="0"/>
          <w:numId w:val="18"/>
        </w:numPr>
        <w:spacing w:after="200" w:line="276" w:lineRule="auto"/>
        <w:ind w:hanging="589"/>
        <w:contextualSpacing/>
        <w:rPr>
          <w:rFonts w:cs="Arial"/>
        </w:rPr>
      </w:pPr>
      <w:r w:rsidRPr="00362372">
        <w:rPr>
          <w:rFonts w:cs="Arial"/>
        </w:rPr>
        <w:lastRenderedPageBreak/>
        <w:t>significant historical and projected growth in number of EHCPs</w:t>
      </w:r>
    </w:p>
    <w:p w14:paraId="23785BDE" w14:textId="77777777" w:rsidR="00542808" w:rsidRPr="00362372" w:rsidRDefault="00542808" w:rsidP="00AF06B3">
      <w:pPr>
        <w:pStyle w:val="ListParagraph"/>
        <w:numPr>
          <w:ilvl w:val="0"/>
          <w:numId w:val="18"/>
        </w:numPr>
        <w:spacing w:after="200" w:line="276" w:lineRule="auto"/>
        <w:ind w:hanging="589"/>
        <w:contextualSpacing/>
        <w:rPr>
          <w:rFonts w:cs="Arial"/>
        </w:rPr>
      </w:pPr>
      <w:r w:rsidRPr="00362372">
        <w:rPr>
          <w:rFonts w:cs="Arial"/>
        </w:rPr>
        <w:t>continued growth in complexity of pupils’ needs</w:t>
      </w:r>
    </w:p>
    <w:p w14:paraId="5B692BFD" w14:textId="77777777" w:rsidR="00542808" w:rsidRPr="00362372" w:rsidRDefault="00542808" w:rsidP="00AF06B3">
      <w:pPr>
        <w:pStyle w:val="ListParagraph"/>
        <w:numPr>
          <w:ilvl w:val="0"/>
          <w:numId w:val="18"/>
        </w:numPr>
        <w:spacing w:after="200"/>
        <w:ind w:hanging="589"/>
        <w:contextualSpacing/>
        <w:rPr>
          <w:rFonts w:cs="Arial"/>
          <w:i/>
        </w:rPr>
      </w:pPr>
      <w:r w:rsidRPr="00362372">
        <w:rPr>
          <w:rFonts w:cs="Arial"/>
        </w:rPr>
        <w:t>limitations about creating cost effective provision in borough due to capacity and site limitations</w:t>
      </w:r>
    </w:p>
    <w:p w14:paraId="39B29388" w14:textId="6CC968AB" w:rsidR="00A1516C" w:rsidRPr="000A28A2" w:rsidRDefault="00A1516C" w:rsidP="00542808">
      <w:pPr>
        <w:pStyle w:val="ListParagraph"/>
        <w:ind w:left="460"/>
        <w:jc w:val="both"/>
        <w:rPr>
          <w:rFonts w:cs="Arial"/>
          <w:b/>
          <w:bCs/>
          <w:szCs w:val="24"/>
        </w:rPr>
      </w:pPr>
    </w:p>
    <w:p w14:paraId="15C97827" w14:textId="7B9A2FD1" w:rsidR="00672697" w:rsidRPr="000A28A2" w:rsidRDefault="00672697" w:rsidP="000D6CA4">
      <w:pPr>
        <w:ind w:firstLine="567"/>
        <w:jc w:val="both"/>
        <w:rPr>
          <w:rFonts w:cs="Arial"/>
        </w:rPr>
      </w:pPr>
      <w:r w:rsidRPr="000A28A2">
        <w:rPr>
          <w:rFonts w:cs="Arial"/>
          <w:b/>
          <w:bCs/>
          <w:szCs w:val="24"/>
        </w:rPr>
        <w:t xml:space="preserve">CORPORATE AND TECHNICAL </w:t>
      </w:r>
    </w:p>
    <w:p w14:paraId="3FA08C2B" w14:textId="77777777" w:rsidR="00EA30B3" w:rsidRPr="000A28A2" w:rsidRDefault="00EA30B3" w:rsidP="00EA30B3">
      <w:pPr>
        <w:pStyle w:val="ListParagraph"/>
        <w:rPr>
          <w:rFonts w:cs="Arial"/>
          <w:szCs w:val="24"/>
        </w:rPr>
      </w:pPr>
    </w:p>
    <w:p w14:paraId="4BAAF0E6" w14:textId="05C03AD2" w:rsidR="00B37833" w:rsidRPr="000A28A2" w:rsidRDefault="00E971A9" w:rsidP="00AF06B3">
      <w:pPr>
        <w:pStyle w:val="ListParagraph"/>
        <w:numPr>
          <w:ilvl w:val="0"/>
          <w:numId w:val="4"/>
        </w:numPr>
        <w:ind w:left="460" w:hanging="567"/>
        <w:jc w:val="both"/>
        <w:rPr>
          <w:rFonts w:cs="Arial"/>
          <w:b/>
          <w:bCs/>
        </w:rPr>
      </w:pPr>
      <w:r w:rsidRPr="000A28A2">
        <w:rPr>
          <w:rFonts w:cs="Arial"/>
          <w:szCs w:val="24"/>
        </w:rPr>
        <w:t>As at the</w:t>
      </w:r>
      <w:r w:rsidR="00617871" w:rsidRPr="000A28A2">
        <w:rPr>
          <w:rFonts w:cs="Arial"/>
          <w:szCs w:val="24"/>
        </w:rPr>
        <w:t xml:space="preserve"> end of the financial year the final </w:t>
      </w:r>
      <w:r w:rsidR="008A47DD" w:rsidRPr="000A28A2">
        <w:rPr>
          <w:rFonts w:cs="Arial"/>
          <w:szCs w:val="24"/>
        </w:rPr>
        <w:t>outturn for</w:t>
      </w:r>
      <w:r w:rsidR="00617871" w:rsidRPr="000A28A2">
        <w:rPr>
          <w:rFonts w:cs="Arial"/>
          <w:szCs w:val="24"/>
        </w:rPr>
        <w:t xml:space="preserve"> the </w:t>
      </w:r>
      <w:r w:rsidRPr="000A28A2">
        <w:rPr>
          <w:rFonts w:cs="Arial"/>
          <w:szCs w:val="24"/>
        </w:rPr>
        <w:t xml:space="preserve">Corporate &amp; Technical budgets is a net </w:t>
      </w:r>
      <w:r w:rsidR="000A28A2" w:rsidRPr="000A28A2">
        <w:rPr>
          <w:rFonts w:cs="Arial"/>
          <w:szCs w:val="24"/>
        </w:rPr>
        <w:t xml:space="preserve">underspend of £2.401m after </w:t>
      </w:r>
      <w:proofErr w:type="gramStart"/>
      <w:r w:rsidR="000A28A2" w:rsidRPr="000A28A2">
        <w:rPr>
          <w:rFonts w:cs="Arial"/>
          <w:szCs w:val="24"/>
        </w:rPr>
        <w:t>draw</w:t>
      </w:r>
      <w:proofErr w:type="gramEnd"/>
      <w:r w:rsidR="000A28A2" w:rsidRPr="000A28A2">
        <w:rPr>
          <w:rFonts w:cs="Arial"/>
          <w:szCs w:val="24"/>
        </w:rPr>
        <w:t xml:space="preserve"> down from reserves.</w:t>
      </w:r>
      <w:r w:rsidR="00EA30B3" w:rsidRPr="000A28A2">
        <w:rPr>
          <w:rFonts w:cs="Arial"/>
          <w:szCs w:val="24"/>
        </w:rPr>
        <w:t xml:space="preserve"> </w:t>
      </w:r>
    </w:p>
    <w:p w14:paraId="2EC70535" w14:textId="77777777" w:rsidR="00B37833" w:rsidRPr="000A28A2" w:rsidRDefault="00B37833" w:rsidP="00B37833">
      <w:pPr>
        <w:pStyle w:val="ListParagraph"/>
        <w:ind w:left="460"/>
        <w:jc w:val="both"/>
        <w:rPr>
          <w:rFonts w:cs="Arial"/>
          <w:b/>
          <w:bCs/>
        </w:rPr>
      </w:pPr>
    </w:p>
    <w:p w14:paraId="046A0CF1" w14:textId="77E8886F" w:rsidR="00EA6BA3" w:rsidRPr="000A28A2" w:rsidRDefault="00EA6BA3" w:rsidP="00B37833">
      <w:pPr>
        <w:pStyle w:val="ListParagraph"/>
        <w:ind w:left="460"/>
        <w:jc w:val="both"/>
        <w:rPr>
          <w:rFonts w:cs="Arial"/>
          <w:b/>
          <w:bCs/>
        </w:rPr>
      </w:pPr>
      <w:r w:rsidRPr="000A28A2">
        <w:rPr>
          <w:rFonts w:cs="Arial"/>
          <w:b/>
          <w:bCs/>
        </w:rPr>
        <w:t>Corporate Items</w:t>
      </w:r>
    </w:p>
    <w:p w14:paraId="74309101" w14:textId="1AEBFBF2" w:rsidR="00CE59BC" w:rsidRPr="000A28A2" w:rsidRDefault="00CE59BC" w:rsidP="00CE59BC">
      <w:pPr>
        <w:pStyle w:val="ListParagraph"/>
        <w:ind w:left="567"/>
        <w:jc w:val="both"/>
        <w:rPr>
          <w:rFonts w:cs="Arial"/>
          <w:bCs/>
          <w:szCs w:val="24"/>
        </w:rPr>
      </w:pPr>
    </w:p>
    <w:p w14:paraId="4E8E2BB3" w14:textId="1D102468" w:rsidR="00605CEF" w:rsidRPr="000A28A2" w:rsidRDefault="00E971A9" w:rsidP="00AD3759">
      <w:pPr>
        <w:pStyle w:val="ListParagraph"/>
        <w:numPr>
          <w:ilvl w:val="0"/>
          <w:numId w:val="4"/>
        </w:numPr>
        <w:ind w:left="460" w:hanging="567"/>
        <w:jc w:val="both"/>
        <w:rPr>
          <w:rFonts w:cs="Arial"/>
          <w:b/>
          <w:bCs/>
        </w:rPr>
      </w:pPr>
      <w:r w:rsidRPr="000A28A2">
        <w:rPr>
          <w:rFonts w:cs="Arial"/>
          <w:szCs w:val="24"/>
        </w:rPr>
        <w:t xml:space="preserve">As </w:t>
      </w:r>
      <w:r w:rsidR="000A28A2" w:rsidRPr="000A28A2">
        <w:rPr>
          <w:rFonts w:cs="Arial"/>
          <w:szCs w:val="24"/>
        </w:rPr>
        <w:t xml:space="preserve">at the end of the financial year the final outturn for the </w:t>
      </w:r>
      <w:r w:rsidR="007235F3" w:rsidRPr="000A28A2">
        <w:rPr>
          <w:rFonts w:cs="Arial"/>
          <w:szCs w:val="24"/>
        </w:rPr>
        <w:t>corporate</w:t>
      </w:r>
      <w:r w:rsidR="000A28A2" w:rsidRPr="000A28A2">
        <w:rPr>
          <w:rFonts w:cs="Arial"/>
          <w:szCs w:val="24"/>
        </w:rPr>
        <w:t xml:space="preserve"> budget is a net underspend of £872k</w:t>
      </w:r>
      <w:r w:rsidR="000A28A2">
        <w:rPr>
          <w:rFonts w:cs="Arial"/>
          <w:szCs w:val="24"/>
        </w:rPr>
        <w:t xml:space="preserve"> after a drawn down from reserves of £60k</w:t>
      </w:r>
      <w:r w:rsidR="000A28A2" w:rsidRPr="000A28A2">
        <w:rPr>
          <w:rFonts w:cs="Arial"/>
          <w:szCs w:val="24"/>
        </w:rPr>
        <w:t>. The majority of this relates to additional grant income.</w:t>
      </w:r>
      <w:r w:rsidRPr="000A28A2">
        <w:rPr>
          <w:rFonts w:cs="Arial"/>
          <w:szCs w:val="24"/>
        </w:rPr>
        <w:t xml:space="preserve"> </w:t>
      </w:r>
    </w:p>
    <w:p w14:paraId="2EBA3E4F" w14:textId="77777777" w:rsidR="00E971A9" w:rsidRPr="006160A2" w:rsidRDefault="00E971A9" w:rsidP="00E971A9">
      <w:pPr>
        <w:pStyle w:val="ListParagraph"/>
        <w:ind w:left="460"/>
        <w:jc w:val="both"/>
        <w:rPr>
          <w:rFonts w:cs="Arial"/>
          <w:b/>
          <w:bCs/>
          <w:color w:val="FF0000"/>
        </w:rPr>
      </w:pPr>
    </w:p>
    <w:p w14:paraId="70E57943" w14:textId="2D291DF0" w:rsidR="004558FE" w:rsidRPr="00646684" w:rsidRDefault="004558FE" w:rsidP="004558FE">
      <w:pPr>
        <w:pStyle w:val="ListParagraph"/>
        <w:ind w:left="460"/>
        <w:jc w:val="both"/>
        <w:rPr>
          <w:rFonts w:cs="Arial"/>
        </w:rPr>
      </w:pPr>
      <w:r w:rsidRPr="00646684">
        <w:rPr>
          <w:rFonts w:cs="Arial"/>
          <w:b/>
          <w:bCs/>
        </w:rPr>
        <w:t>Technical Budgets</w:t>
      </w:r>
    </w:p>
    <w:p w14:paraId="6D0186CC" w14:textId="77777777" w:rsidR="007235F3" w:rsidRDefault="007235F3" w:rsidP="007235F3">
      <w:pPr>
        <w:pStyle w:val="ListParagraph"/>
        <w:ind w:left="460"/>
        <w:jc w:val="both"/>
        <w:rPr>
          <w:rFonts w:cs="Arial"/>
        </w:rPr>
      </w:pPr>
    </w:p>
    <w:p w14:paraId="32DF3048" w14:textId="668DE7C6" w:rsidR="004558FE" w:rsidRPr="00646684" w:rsidRDefault="000A28A2" w:rsidP="00AF06B3">
      <w:pPr>
        <w:pStyle w:val="ListParagraph"/>
        <w:numPr>
          <w:ilvl w:val="0"/>
          <w:numId w:val="4"/>
        </w:numPr>
        <w:ind w:left="460" w:hanging="567"/>
        <w:jc w:val="both"/>
        <w:rPr>
          <w:rFonts w:cs="Arial"/>
        </w:rPr>
      </w:pPr>
      <w:r w:rsidRPr="00646684">
        <w:rPr>
          <w:rFonts w:cs="Arial"/>
        </w:rPr>
        <w:t>As at the end of the financial year the final outturn</w:t>
      </w:r>
      <w:r w:rsidR="008749F7">
        <w:rPr>
          <w:rFonts w:cs="Arial"/>
        </w:rPr>
        <w:t>, including the contingency for unforeseen items,</w:t>
      </w:r>
      <w:r w:rsidRPr="00646684">
        <w:rPr>
          <w:rFonts w:cs="Arial"/>
        </w:rPr>
        <w:t xml:space="preserve"> is </w:t>
      </w:r>
      <w:r w:rsidR="00787709" w:rsidRPr="00646684">
        <w:rPr>
          <w:rFonts w:cs="Arial"/>
        </w:rPr>
        <w:t xml:space="preserve">net </w:t>
      </w:r>
      <w:r w:rsidRPr="00646684">
        <w:rPr>
          <w:rFonts w:cs="Arial"/>
        </w:rPr>
        <w:t>und</w:t>
      </w:r>
      <w:r w:rsidR="00787709" w:rsidRPr="00646684">
        <w:rPr>
          <w:rFonts w:cs="Arial"/>
        </w:rPr>
        <w:t>erspend of £</w:t>
      </w:r>
      <w:r w:rsidR="008749F7">
        <w:rPr>
          <w:rFonts w:cs="Arial"/>
        </w:rPr>
        <w:t>1.907m</w:t>
      </w:r>
      <w:r w:rsidRPr="00646684">
        <w:rPr>
          <w:rFonts w:cs="Arial"/>
        </w:rPr>
        <w:t xml:space="preserve"> after a draw down from reserves of £</w:t>
      </w:r>
      <w:r w:rsidR="00AC1FF2">
        <w:rPr>
          <w:rFonts w:cs="Arial"/>
        </w:rPr>
        <w:t>12.384m and carry forwards of £413k</w:t>
      </w:r>
      <w:r w:rsidR="00787709" w:rsidRPr="00646684">
        <w:rPr>
          <w:rFonts w:cs="Arial"/>
        </w:rPr>
        <w:t xml:space="preserve">. </w:t>
      </w:r>
      <w:r w:rsidR="00646684" w:rsidRPr="00646684">
        <w:rPr>
          <w:rFonts w:cs="Arial"/>
        </w:rPr>
        <w:t>The majority of this relates to the contingency for unforeseen items which was not spent as well as underspends on treasury management and capital financing costs.</w:t>
      </w:r>
    </w:p>
    <w:p w14:paraId="7AD593C9" w14:textId="77777777" w:rsidR="007235F3" w:rsidRPr="00646684" w:rsidRDefault="007235F3" w:rsidP="00E971A9">
      <w:pPr>
        <w:pStyle w:val="ListParagraph"/>
        <w:ind w:left="460"/>
        <w:jc w:val="both"/>
        <w:rPr>
          <w:rFonts w:cs="Arial"/>
        </w:rPr>
      </w:pPr>
    </w:p>
    <w:p w14:paraId="259E0EDD" w14:textId="727F672D" w:rsidR="00E971A9" w:rsidRPr="00646684" w:rsidRDefault="00E971A9" w:rsidP="00E971A9">
      <w:pPr>
        <w:pStyle w:val="ListParagraph"/>
        <w:ind w:left="460"/>
        <w:jc w:val="both"/>
        <w:rPr>
          <w:rFonts w:cs="Arial"/>
          <w:b/>
          <w:bCs/>
        </w:rPr>
      </w:pPr>
      <w:r w:rsidRPr="00646684">
        <w:rPr>
          <w:rFonts w:cs="Arial"/>
          <w:b/>
          <w:bCs/>
        </w:rPr>
        <w:t xml:space="preserve">Pay &amp; </w:t>
      </w:r>
      <w:r w:rsidR="00930F7A" w:rsidRPr="00646684">
        <w:rPr>
          <w:rFonts w:cs="Arial"/>
          <w:b/>
          <w:bCs/>
        </w:rPr>
        <w:t>Non-Pay</w:t>
      </w:r>
      <w:r w:rsidRPr="00646684">
        <w:rPr>
          <w:rFonts w:cs="Arial"/>
          <w:b/>
          <w:bCs/>
        </w:rPr>
        <w:t xml:space="preserve"> Inflation Budgets</w:t>
      </w:r>
    </w:p>
    <w:p w14:paraId="74A5859A" w14:textId="77777777" w:rsidR="00E971A9" w:rsidRPr="00646684" w:rsidRDefault="00E971A9" w:rsidP="00E971A9">
      <w:pPr>
        <w:pStyle w:val="ListParagraph"/>
        <w:ind w:left="460"/>
        <w:jc w:val="both"/>
        <w:rPr>
          <w:rFonts w:cs="Arial"/>
        </w:rPr>
      </w:pPr>
    </w:p>
    <w:p w14:paraId="4BF9EE5F" w14:textId="45A967ED" w:rsidR="00EB52D3" w:rsidRPr="00646684" w:rsidRDefault="00646684" w:rsidP="00AF06B3">
      <w:pPr>
        <w:pStyle w:val="ListParagraph"/>
        <w:numPr>
          <w:ilvl w:val="0"/>
          <w:numId w:val="4"/>
        </w:numPr>
        <w:ind w:left="460" w:hanging="567"/>
        <w:jc w:val="both"/>
        <w:rPr>
          <w:rFonts w:cs="Arial"/>
        </w:rPr>
      </w:pPr>
      <w:r w:rsidRPr="00646684">
        <w:rPr>
          <w:rFonts w:cs="Arial"/>
        </w:rPr>
        <w:t>The final outturn on the n</w:t>
      </w:r>
      <w:r w:rsidR="00930F7A" w:rsidRPr="00646684">
        <w:rPr>
          <w:rFonts w:cs="Arial"/>
        </w:rPr>
        <w:t>on-pay</w:t>
      </w:r>
      <w:r w:rsidR="00A66B79" w:rsidRPr="00646684">
        <w:rPr>
          <w:rFonts w:cs="Arial"/>
        </w:rPr>
        <w:t xml:space="preserve"> inflation budget </w:t>
      </w:r>
      <w:r w:rsidRPr="00646684">
        <w:rPr>
          <w:rFonts w:cs="Arial"/>
        </w:rPr>
        <w:t>is an underspend of £2.750m which is partially</w:t>
      </w:r>
      <w:r w:rsidR="00A66B79" w:rsidRPr="00646684">
        <w:rPr>
          <w:rFonts w:cs="Arial"/>
        </w:rPr>
        <w:t xml:space="preserve"> offset by energy and fuel inflation pressures </w:t>
      </w:r>
      <w:r w:rsidRPr="00646684">
        <w:rPr>
          <w:rFonts w:cs="Arial"/>
        </w:rPr>
        <w:t>reported in t</w:t>
      </w:r>
      <w:r w:rsidR="00A66B79" w:rsidRPr="00646684">
        <w:rPr>
          <w:rFonts w:cs="Arial"/>
        </w:rPr>
        <w:t xml:space="preserve">he directorates. </w:t>
      </w:r>
    </w:p>
    <w:p w14:paraId="336989D3" w14:textId="77777777" w:rsidR="00BA7B29" w:rsidRPr="00646684" w:rsidRDefault="00BA7B29" w:rsidP="00BA7B29">
      <w:pPr>
        <w:pStyle w:val="ListParagraph"/>
        <w:ind w:left="460"/>
        <w:jc w:val="both"/>
        <w:rPr>
          <w:rFonts w:cs="Arial"/>
          <w:highlight w:val="yellow"/>
        </w:rPr>
      </w:pPr>
    </w:p>
    <w:p w14:paraId="7143A6EC" w14:textId="752FB79C" w:rsidR="00573FF1" w:rsidRPr="008749F7" w:rsidRDefault="00BA7B29" w:rsidP="008D6D7D">
      <w:pPr>
        <w:pStyle w:val="ListParagraph"/>
        <w:numPr>
          <w:ilvl w:val="0"/>
          <w:numId w:val="4"/>
        </w:numPr>
        <w:ind w:left="460" w:hanging="567"/>
        <w:jc w:val="both"/>
        <w:rPr>
          <w:rFonts w:cs="Arial"/>
          <w:b/>
          <w:bCs/>
          <w:color w:val="FF0000"/>
        </w:rPr>
      </w:pPr>
      <w:r w:rsidRPr="008749F7">
        <w:rPr>
          <w:rFonts w:cs="Arial"/>
        </w:rPr>
        <w:t xml:space="preserve">The pay inflation budget of £2m </w:t>
      </w:r>
      <w:r w:rsidR="00646684" w:rsidRPr="008749F7">
        <w:rPr>
          <w:rFonts w:cs="Arial"/>
        </w:rPr>
        <w:t xml:space="preserve">overspent by £4.928m which was the </w:t>
      </w:r>
      <w:r w:rsidR="000A3FE2" w:rsidRPr="008749F7">
        <w:rPr>
          <w:rFonts w:cs="Arial"/>
        </w:rPr>
        <w:t xml:space="preserve">cost impact of the 2022-23 pay award </w:t>
      </w:r>
    </w:p>
    <w:p w14:paraId="20C72E43" w14:textId="77777777" w:rsidR="008749F7" w:rsidRPr="008749F7" w:rsidRDefault="008749F7" w:rsidP="008749F7">
      <w:pPr>
        <w:pStyle w:val="ListParagraph"/>
        <w:rPr>
          <w:rFonts w:cs="Arial"/>
          <w:b/>
          <w:bCs/>
          <w:color w:val="FF0000"/>
        </w:rPr>
      </w:pPr>
    </w:p>
    <w:p w14:paraId="6FA4343F" w14:textId="5CC79FA0" w:rsidR="00B37833" w:rsidRPr="0022207C" w:rsidRDefault="00B37833" w:rsidP="00B37833">
      <w:pPr>
        <w:pStyle w:val="ListParagraph"/>
        <w:ind w:left="460"/>
        <w:jc w:val="both"/>
        <w:rPr>
          <w:rFonts w:cs="Arial"/>
          <w:b/>
          <w:bCs/>
        </w:rPr>
      </w:pPr>
      <w:r w:rsidRPr="0022207C">
        <w:rPr>
          <w:rFonts w:cs="Arial"/>
          <w:b/>
          <w:bCs/>
        </w:rPr>
        <w:t>Investment Properties</w:t>
      </w:r>
    </w:p>
    <w:p w14:paraId="09754655" w14:textId="77777777" w:rsidR="00B37833" w:rsidRPr="0022207C" w:rsidRDefault="00B37833" w:rsidP="00B37833">
      <w:pPr>
        <w:pStyle w:val="ListParagraph"/>
        <w:ind w:left="567"/>
        <w:jc w:val="both"/>
        <w:rPr>
          <w:rFonts w:cs="Arial"/>
          <w:bCs/>
          <w:szCs w:val="24"/>
        </w:rPr>
      </w:pPr>
    </w:p>
    <w:p w14:paraId="7020EA4E" w14:textId="51B6D340" w:rsidR="00B37833" w:rsidRPr="00E2666F" w:rsidRDefault="0022207C" w:rsidP="00AF06B3">
      <w:pPr>
        <w:pStyle w:val="ListParagraph"/>
        <w:numPr>
          <w:ilvl w:val="0"/>
          <w:numId w:val="4"/>
        </w:numPr>
        <w:ind w:left="460" w:hanging="567"/>
        <w:jc w:val="both"/>
        <w:rPr>
          <w:rFonts w:cs="Arial"/>
          <w:b/>
          <w:bCs/>
        </w:rPr>
      </w:pPr>
      <w:r w:rsidRPr="0022207C">
        <w:rPr>
          <w:rFonts w:cs="Arial"/>
        </w:rPr>
        <w:t xml:space="preserve">As at the end of the financial year the final outturn </w:t>
      </w:r>
      <w:r w:rsidR="006552F7">
        <w:rPr>
          <w:rFonts w:cs="Arial"/>
        </w:rPr>
        <w:t>of</w:t>
      </w:r>
      <w:r w:rsidRPr="0022207C">
        <w:rPr>
          <w:rFonts w:cs="Arial"/>
        </w:rPr>
        <w:t xml:space="preserve"> </w:t>
      </w:r>
      <w:r w:rsidR="006552F7">
        <w:rPr>
          <w:rFonts w:cs="Arial"/>
        </w:rPr>
        <w:t xml:space="preserve">additional income </w:t>
      </w:r>
      <w:r w:rsidRPr="0022207C">
        <w:rPr>
          <w:rFonts w:cs="Arial"/>
        </w:rPr>
        <w:t>£146k which will be added to the Investment Properties reserve for future landlord liabilities.</w:t>
      </w:r>
    </w:p>
    <w:p w14:paraId="6DD31E02" w14:textId="42FE3610" w:rsidR="00E2666F" w:rsidRDefault="00E2666F" w:rsidP="00E2666F">
      <w:pPr>
        <w:jc w:val="both"/>
        <w:rPr>
          <w:rFonts w:cs="Arial"/>
          <w:b/>
          <w:bCs/>
        </w:rPr>
      </w:pPr>
    </w:p>
    <w:p w14:paraId="2D6CE020" w14:textId="00C8438D" w:rsidR="00E2666F" w:rsidRDefault="00E2666F" w:rsidP="00E2666F">
      <w:pPr>
        <w:jc w:val="both"/>
        <w:rPr>
          <w:rFonts w:cs="Arial"/>
          <w:b/>
          <w:bCs/>
        </w:rPr>
      </w:pPr>
    </w:p>
    <w:p w14:paraId="1DD43BE3" w14:textId="720A27C3" w:rsidR="00922DD2" w:rsidRDefault="00922DD2" w:rsidP="00E2666F">
      <w:pPr>
        <w:jc w:val="both"/>
        <w:rPr>
          <w:rFonts w:cs="Arial"/>
          <w:b/>
          <w:bCs/>
        </w:rPr>
      </w:pPr>
    </w:p>
    <w:p w14:paraId="0AA4674E" w14:textId="601BD627" w:rsidR="00922DD2" w:rsidRDefault="00922DD2" w:rsidP="00E2666F">
      <w:pPr>
        <w:jc w:val="both"/>
        <w:rPr>
          <w:rFonts w:cs="Arial"/>
          <w:b/>
          <w:bCs/>
        </w:rPr>
      </w:pPr>
    </w:p>
    <w:p w14:paraId="26F38690" w14:textId="677E0778" w:rsidR="00922DD2" w:rsidRDefault="00922DD2" w:rsidP="00E2666F">
      <w:pPr>
        <w:jc w:val="both"/>
        <w:rPr>
          <w:rFonts w:cs="Arial"/>
          <w:b/>
          <w:bCs/>
        </w:rPr>
      </w:pPr>
    </w:p>
    <w:p w14:paraId="68F17988" w14:textId="12D048AD" w:rsidR="00922DD2" w:rsidRDefault="00922DD2" w:rsidP="00E2666F">
      <w:pPr>
        <w:jc w:val="both"/>
        <w:rPr>
          <w:rFonts w:cs="Arial"/>
          <w:b/>
          <w:bCs/>
        </w:rPr>
      </w:pPr>
    </w:p>
    <w:p w14:paraId="5B80C866" w14:textId="7694C9B1" w:rsidR="00922DD2" w:rsidRDefault="00922DD2" w:rsidP="00E2666F">
      <w:pPr>
        <w:jc w:val="both"/>
        <w:rPr>
          <w:rFonts w:cs="Arial"/>
          <w:b/>
          <w:bCs/>
        </w:rPr>
      </w:pPr>
    </w:p>
    <w:p w14:paraId="450A86EF" w14:textId="77777777" w:rsidR="00922DD2" w:rsidRDefault="00922DD2" w:rsidP="00E2666F">
      <w:pPr>
        <w:jc w:val="both"/>
        <w:rPr>
          <w:rFonts w:cs="Arial"/>
          <w:b/>
          <w:bCs/>
        </w:rPr>
      </w:pPr>
    </w:p>
    <w:p w14:paraId="399F8663" w14:textId="77777777" w:rsidR="00E2666F" w:rsidRPr="00E2666F" w:rsidRDefault="00E2666F" w:rsidP="00E2666F">
      <w:pPr>
        <w:jc w:val="both"/>
        <w:rPr>
          <w:rFonts w:cs="Arial"/>
          <w:b/>
          <w:bCs/>
        </w:rPr>
      </w:pPr>
    </w:p>
    <w:p w14:paraId="39C9B2D7" w14:textId="77777777" w:rsidR="00B37833" w:rsidRPr="00646684" w:rsidRDefault="00B37833" w:rsidP="00B37833">
      <w:pPr>
        <w:pStyle w:val="ListParagraph"/>
        <w:rPr>
          <w:rFonts w:cs="Arial"/>
          <w:b/>
          <w:bCs/>
        </w:rPr>
      </w:pPr>
    </w:p>
    <w:p w14:paraId="46A54DED" w14:textId="028ED504" w:rsidR="00253051" w:rsidRPr="00646684" w:rsidRDefault="00253051" w:rsidP="00DD6F38">
      <w:pPr>
        <w:rPr>
          <w:rFonts w:cs="Arial"/>
          <w:b/>
          <w:bCs/>
          <w:u w:val="single"/>
          <w:lang w:val="en-US"/>
        </w:rPr>
      </w:pPr>
      <w:r w:rsidRPr="00646684">
        <w:rPr>
          <w:rFonts w:cs="Arial"/>
          <w:b/>
          <w:bCs/>
          <w:u w:val="single"/>
          <w:lang w:val="en-US"/>
        </w:rPr>
        <w:lastRenderedPageBreak/>
        <w:t xml:space="preserve">Table </w:t>
      </w:r>
      <w:r w:rsidR="00707F54" w:rsidRPr="00646684">
        <w:rPr>
          <w:rFonts w:cs="Arial"/>
          <w:b/>
          <w:bCs/>
          <w:u w:val="single"/>
          <w:lang w:val="en-US"/>
        </w:rPr>
        <w:t>10</w:t>
      </w:r>
      <w:r w:rsidR="00C920C9" w:rsidRPr="00646684">
        <w:rPr>
          <w:rFonts w:cs="Arial"/>
          <w:b/>
          <w:bCs/>
          <w:u w:val="single"/>
          <w:lang w:val="en-US"/>
        </w:rPr>
        <w:t xml:space="preserve">: </w:t>
      </w:r>
      <w:r w:rsidRPr="00646684">
        <w:rPr>
          <w:rFonts w:cs="Arial"/>
          <w:b/>
          <w:bCs/>
          <w:u w:val="single"/>
          <w:lang w:val="en-US"/>
        </w:rPr>
        <w:t xml:space="preserve">Summary of Reserves </w:t>
      </w:r>
      <w:r w:rsidR="00542808" w:rsidRPr="00646684">
        <w:rPr>
          <w:rFonts w:cs="Arial"/>
          <w:b/>
          <w:bCs/>
          <w:u w:val="single"/>
          <w:lang w:val="en-US"/>
        </w:rPr>
        <w:t>2022-23</w:t>
      </w:r>
    </w:p>
    <w:p w14:paraId="0C112F9E" w14:textId="5FA6F9A6" w:rsidR="00C742E3" w:rsidRPr="00646684" w:rsidRDefault="00C742E3" w:rsidP="00C742E3">
      <w:pPr>
        <w:pStyle w:val="ListParagraph"/>
        <w:ind w:left="567"/>
        <w:jc w:val="both"/>
        <w:rPr>
          <w:rFonts w:cs="Arial"/>
          <w:lang w:val="en-US"/>
        </w:rPr>
      </w:pPr>
    </w:p>
    <w:p w14:paraId="23C437D6" w14:textId="3B8E3619" w:rsidR="00646684" w:rsidRDefault="00646684" w:rsidP="006D6ED3">
      <w:pPr>
        <w:pStyle w:val="ListParagraph"/>
        <w:ind w:left="-426"/>
        <w:jc w:val="both"/>
        <w:rPr>
          <w:rFonts w:cs="Arial"/>
          <w:color w:val="FF0000"/>
          <w:lang w:val="en-US"/>
        </w:rPr>
      </w:pPr>
    </w:p>
    <w:p w14:paraId="0E7F3838" w14:textId="0809A107" w:rsidR="00E2666F" w:rsidRDefault="00DF0671" w:rsidP="00DF0671">
      <w:pPr>
        <w:pStyle w:val="ListParagraph"/>
        <w:ind w:left="-709"/>
        <w:jc w:val="both"/>
        <w:rPr>
          <w:rFonts w:cs="Arial"/>
          <w:b/>
          <w:bCs/>
        </w:rPr>
      </w:pPr>
      <w:r w:rsidRPr="00DF0671">
        <w:rPr>
          <w:noProof/>
        </w:rPr>
        <w:drawing>
          <wp:inline distT="0" distB="0" distL="0" distR="0" wp14:anchorId="550E3F25" wp14:editId="57876FEF">
            <wp:extent cx="6737350" cy="6129205"/>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43564" cy="6134858"/>
                    </a:xfrm>
                    <a:prstGeom prst="rect">
                      <a:avLst/>
                    </a:prstGeom>
                    <a:noFill/>
                    <a:ln>
                      <a:noFill/>
                    </a:ln>
                  </pic:spPr>
                </pic:pic>
              </a:graphicData>
            </a:graphic>
          </wp:inline>
        </w:drawing>
      </w:r>
    </w:p>
    <w:p w14:paraId="28FC22A7" w14:textId="77777777" w:rsidR="00E2666F" w:rsidRDefault="00E2666F" w:rsidP="00F90145">
      <w:pPr>
        <w:pStyle w:val="ListParagraph"/>
        <w:ind w:left="460"/>
        <w:jc w:val="both"/>
        <w:rPr>
          <w:rFonts w:cs="Arial"/>
          <w:b/>
          <w:bCs/>
        </w:rPr>
      </w:pPr>
    </w:p>
    <w:p w14:paraId="468FB1C8" w14:textId="77777777" w:rsidR="00E2666F" w:rsidRDefault="00E2666F" w:rsidP="00F90145">
      <w:pPr>
        <w:pStyle w:val="ListParagraph"/>
        <w:ind w:left="460"/>
        <w:jc w:val="both"/>
        <w:rPr>
          <w:rFonts w:cs="Arial"/>
          <w:b/>
          <w:bCs/>
        </w:rPr>
      </w:pPr>
    </w:p>
    <w:p w14:paraId="23F04F19" w14:textId="6BCA2F91" w:rsidR="00C82D13" w:rsidRPr="006C4D85" w:rsidRDefault="006C7890" w:rsidP="00F90145">
      <w:pPr>
        <w:pStyle w:val="ListParagraph"/>
        <w:ind w:left="460"/>
        <w:jc w:val="both"/>
        <w:rPr>
          <w:rFonts w:cs="Arial"/>
          <w:b/>
          <w:bCs/>
        </w:rPr>
      </w:pPr>
      <w:r w:rsidRPr="006C4D85">
        <w:rPr>
          <w:rFonts w:cs="Arial"/>
          <w:b/>
          <w:bCs/>
        </w:rPr>
        <w:t>New Earmarked Reserves</w:t>
      </w:r>
    </w:p>
    <w:p w14:paraId="23EBC1DA" w14:textId="77777777" w:rsidR="00F90145" w:rsidRPr="006C4D85" w:rsidRDefault="00F90145" w:rsidP="00F90145">
      <w:pPr>
        <w:pStyle w:val="ListParagraph"/>
        <w:ind w:left="460"/>
        <w:jc w:val="both"/>
        <w:rPr>
          <w:rFonts w:cs="Arial"/>
          <w:b/>
          <w:bCs/>
        </w:rPr>
      </w:pPr>
    </w:p>
    <w:p w14:paraId="70098471" w14:textId="2F27B05A" w:rsidR="006C7890" w:rsidRPr="006C4D85" w:rsidRDefault="006C7890" w:rsidP="00AF06B3">
      <w:pPr>
        <w:pStyle w:val="ListParagraph"/>
        <w:numPr>
          <w:ilvl w:val="0"/>
          <w:numId w:val="4"/>
        </w:numPr>
        <w:ind w:left="460" w:hanging="567"/>
        <w:jc w:val="both"/>
        <w:rPr>
          <w:rFonts w:cs="Arial"/>
          <w:b/>
          <w:bCs/>
        </w:rPr>
      </w:pPr>
      <w:r w:rsidRPr="006C4D85">
        <w:rPr>
          <w:rFonts w:cs="Arial"/>
        </w:rPr>
        <w:t>In addition to the existing reserves in the above table, there have been four new reserve</w:t>
      </w:r>
      <w:r w:rsidR="00856058">
        <w:rPr>
          <w:rFonts w:cs="Arial"/>
        </w:rPr>
        <w:t>s</w:t>
      </w:r>
      <w:r w:rsidRPr="006C4D85">
        <w:rPr>
          <w:rFonts w:cs="Arial"/>
        </w:rPr>
        <w:t xml:space="preserve"> established in 2022-23.</w:t>
      </w:r>
    </w:p>
    <w:p w14:paraId="380721DA" w14:textId="77777777" w:rsidR="002C2AF0" w:rsidRDefault="002C2AF0" w:rsidP="002C2AF0">
      <w:pPr>
        <w:pStyle w:val="ListParagraph"/>
        <w:ind w:left="1276"/>
        <w:jc w:val="both"/>
        <w:rPr>
          <w:rFonts w:cs="Arial"/>
          <w:b/>
          <w:bCs/>
        </w:rPr>
      </w:pPr>
    </w:p>
    <w:p w14:paraId="4C3BED91" w14:textId="53906B01" w:rsidR="006C7890" w:rsidRPr="006C4D85" w:rsidRDefault="00E42991" w:rsidP="006C7890">
      <w:pPr>
        <w:pStyle w:val="ListParagraph"/>
        <w:numPr>
          <w:ilvl w:val="1"/>
          <w:numId w:val="4"/>
        </w:numPr>
        <w:ind w:left="1276"/>
        <w:jc w:val="both"/>
        <w:rPr>
          <w:rFonts w:cs="Arial"/>
          <w:b/>
          <w:bCs/>
        </w:rPr>
      </w:pPr>
      <w:r w:rsidRPr="006C4D85">
        <w:rPr>
          <w:rFonts w:cs="Arial"/>
          <w:b/>
          <w:bCs/>
        </w:rPr>
        <w:t>Decommissioning</w:t>
      </w:r>
      <w:r w:rsidR="006C7890" w:rsidRPr="006C4D85">
        <w:rPr>
          <w:rFonts w:cs="Arial"/>
          <w:b/>
          <w:bCs/>
        </w:rPr>
        <w:t xml:space="preserve"> Accommodation</w:t>
      </w:r>
      <w:r w:rsidR="006C7890" w:rsidRPr="006C4D85">
        <w:rPr>
          <w:rFonts w:cs="Arial"/>
        </w:rPr>
        <w:t xml:space="preserve"> – this has been repurposed from the Accommodation Strategy reserve and has been established to fund costs associated with the closure of the Civic Centre</w:t>
      </w:r>
    </w:p>
    <w:p w14:paraId="57D0C795" w14:textId="00A799DA" w:rsidR="006C7890" w:rsidRPr="006C4D85" w:rsidRDefault="006C7890" w:rsidP="006C7890">
      <w:pPr>
        <w:pStyle w:val="ListParagraph"/>
        <w:numPr>
          <w:ilvl w:val="1"/>
          <w:numId w:val="4"/>
        </w:numPr>
        <w:ind w:left="1276"/>
        <w:jc w:val="both"/>
        <w:rPr>
          <w:rFonts w:cs="Arial"/>
          <w:b/>
          <w:bCs/>
        </w:rPr>
      </w:pPr>
      <w:r w:rsidRPr="006C4D85">
        <w:rPr>
          <w:rFonts w:cs="Arial"/>
          <w:b/>
          <w:bCs/>
        </w:rPr>
        <w:lastRenderedPageBreak/>
        <w:t>People Services Implementation MTFS Reserve</w:t>
      </w:r>
      <w:r w:rsidRPr="006C4D85">
        <w:rPr>
          <w:rFonts w:cs="Arial"/>
        </w:rPr>
        <w:t xml:space="preserve"> – this has been repurposed from the uncommitted Adults Social Care Reserve and has been established to fund the implementation costs in People Services to support the delivery of the MTFS</w:t>
      </w:r>
    </w:p>
    <w:p w14:paraId="0C173B32" w14:textId="5A7D1B33" w:rsidR="006C7890" w:rsidRPr="006C4D85" w:rsidRDefault="006C7890" w:rsidP="006C7890">
      <w:pPr>
        <w:pStyle w:val="ListParagraph"/>
        <w:numPr>
          <w:ilvl w:val="1"/>
          <w:numId w:val="4"/>
        </w:numPr>
        <w:ind w:left="1276"/>
        <w:jc w:val="both"/>
        <w:rPr>
          <w:rFonts w:cs="Arial"/>
          <w:b/>
          <w:bCs/>
        </w:rPr>
      </w:pPr>
      <w:r w:rsidRPr="006C4D85">
        <w:rPr>
          <w:rFonts w:cs="Arial"/>
          <w:b/>
          <w:bCs/>
        </w:rPr>
        <w:t>Place MTFS Implementation Reserve</w:t>
      </w:r>
      <w:r w:rsidRPr="006C4D85">
        <w:rPr>
          <w:rFonts w:cs="Arial"/>
        </w:rPr>
        <w:t xml:space="preserve"> – this has been established to fund the implementation costs in Place directorate to support the delivery of the MTFS</w:t>
      </w:r>
    </w:p>
    <w:p w14:paraId="0C89668C" w14:textId="12862CD7" w:rsidR="006C7890" w:rsidRPr="006C4D85" w:rsidRDefault="006C7890" w:rsidP="006C7890">
      <w:pPr>
        <w:pStyle w:val="ListParagraph"/>
        <w:numPr>
          <w:ilvl w:val="1"/>
          <w:numId w:val="4"/>
        </w:numPr>
        <w:ind w:left="1276"/>
        <w:jc w:val="both"/>
        <w:rPr>
          <w:rFonts w:cs="Arial"/>
          <w:b/>
          <w:bCs/>
        </w:rPr>
      </w:pPr>
      <w:r w:rsidRPr="006C4D85">
        <w:rPr>
          <w:rFonts w:cs="Arial"/>
          <w:b/>
          <w:bCs/>
        </w:rPr>
        <w:t>Corporate MTFS Implementation Reserve</w:t>
      </w:r>
      <w:r w:rsidRPr="006C4D85">
        <w:rPr>
          <w:rFonts w:cs="Arial"/>
        </w:rPr>
        <w:t xml:space="preserve"> – this has been established to fund the corporate implementation costs, particularly in relation to redundancy costs, to support the directorates’ delivery of the MTFS</w:t>
      </w:r>
    </w:p>
    <w:p w14:paraId="5989A006" w14:textId="77777777" w:rsidR="0007066E" w:rsidRDefault="0007066E" w:rsidP="006C7890">
      <w:pPr>
        <w:pStyle w:val="ListParagraph"/>
        <w:ind w:left="460"/>
        <w:jc w:val="both"/>
        <w:rPr>
          <w:rFonts w:cs="Arial"/>
          <w:b/>
          <w:bCs/>
        </w:rPr>
      </w:pPr>
    </w:p>
    <w:p w14:paraId="414516CA" w14:textId="77777777" w:rsidR="0007066E" w:rsidRDefault="0007066E" w:rsidP="006C7890">
      <w:pPr>
        <w:pStyle w:val="ListParagraph"/>
        <w:ind w:left="460"/>
        <w:jc w:val="both"/>
        <w:rPr>
          <w:rFonts w:cs="Arial"/>
          <w:b/>
          <w:bCs/>
        </w:rPr>
      </w:pPr>
    </w:p>
    <w:p w14:paraId="2E191AFA" w14:textId="0FCCDCF3" w:rsidR="006C7890" w:rsidRPr="002C2AF0" w:rsidRDefault="006C7890" w:rsidP="006C7890">
      <w:pPr>
        <w:pStyle w:val="ListParagraph"/>
        <w:ind w:left="460"/>
        <w:jc w:val="both"/>
        <w:rPr>
          <w:rFonts w:cs="Arial"/>
          <w:b/>
          <w:bCs/>
        </w:rPr>
      </w:pPr>
      <w:r w:rsidRPr="002C2AF0">
        <w:rPr>
          <w:rFonts w:cs="Arial"/>
          <w:b/>
          <w:bCs/>
        </w:rPr>
        <w:t>GRANTS</w:t>
      </w:r>
    </w:p>
    <w:p w14:paraId="56C2760A" w14:textId="77777777" w:rsidR="006C7890" w:rsidRPr="006C7890" w:rsidRDefault="006C7890" w:rsidP="006C7890">
      <w:pPr>
        <w:pStyle w:val="ListParagraph"/>
        <w:ind w:left="460"/>
        <w:jc w:val="both"/>
        <w:rPr>
          <w:rFonts w:cs="Arial"/>
          <w:b/>
          <w:bCs/>
          <w:color w:val="FF0000"/>
        </w:rPr>
      </w:pPr>
    </w:p>
    <w:p w14:paraId="26788530" w14:textId="3A05809C" w:rsidR="00F90145" w:rsidRPr="001B4F9E" w:rsidRDefault="00F90145" w:rsidP="00AF06B3">
      <w:pPr>
        <w:pStyle w:val="ListParagraph"/>
        <w:numPr>
          <w:ilvl w:val="0"/>
          <w:numId w:val="4"/>
        </w:numPr>
        <w:ind w:left="460" w:hanging="567"/>
        <w:jc w:val="both"/>
        <w:rPr>
          <w:rFonts w:cs="Arial"/>
          <w:b/>
          <w:bCs/>
          <w:color w:val="FF0000"/>
        </w:rPr>
      </w:pPr>
      <w:r w:rsidRPr="001970DA">
        <w:rPr>
          <w:rFonts w:cs="Arial"/>
        </w:rPr>
        <w:t xml:space="preserve">Attached at Appendix </w:t>
      </w:r>
      <w:r w:rsidR="00B5452E" w:rsidRPr="001970DA">
        <w:rPr>
          <w:rFonts w:cs="Arial"/>
        </w:rPr>
        <w:t>1</w:t>
      </w:r>
      <w:r w:rsidRPr="001970DA">
        <w:rPr>
          <w:rFonts w:cs="Arial"/>
        </w:rPr>
        <w:t xml:space="preserve"> is a schedule of all the </w:t>
      </w:r>
      <w:r w:rsidR="00076BFB" w:rsidRPr="001970DA">
        <w:rPr>
          <w:rFonts w:cs="Arial"/>
        </w:rPr>
        <w:t xml:space="preserve">revenue grants </w:t>
      </w:r>
      <w:r w:rsidRPr="001970DA">
        <w:rPr>
          <w:rFonts w:cs="Arial"/>
        </w:rPr>
        <w:t xml:space="preserve">the Council </w:t>
      </w:r>
      <w:r w:rsidR="001E2F70">
        <w:rPr>
          <w:rFonts w:cs="Arial"/>
        </w:rPr>
        <w:t>received in 2022</w:t>
      </w:r>
      <w:r w:rsidRPr="001970DA">
        <w:rPr>
          <w:rFonts w:cs="Arial"/>
        </w:rPr>
        <w:t>-2</w:t>
      </w:r>
      <w:r w:rsidR="00542808" w:rsidRPr="001970DA">
        <w:rPr>
          <w:rFonts w:cs="Arial"/>
        </w:rPr>
        <w:t>3</w:t>
      </w:r>
      <w:r w:rsidRPr="001970DA">
        <w:rPr>
          <w:rFonts w:cs="Arial"/>
        </w:rPr>
        <w:t xml:space="preserve">. </w:t>
      </w:r>
      <w:r w:rsidR="00076BFB" w:rsidRPr="001970DA">
        <w:rPr>
          <w:rFonts w:cs="Arial"/>
        </w:rPr>
        <w:t>The majority of these grants are received and paid out and do</w:t>
      </w:r>
      <w:r w:rsidR="005E717F" w:rsidRPr="001970DA">
        <w:rPr>
          <w:rFonts w:cs="Arial"/>
        </w:rPr>
        <w:t xml:space="preserve"> </w:t>
      </w:r>
      <w:r w:rsidR="005E717F" w:rsidRPr="00362372">
        <w:rPr>
          <w:rFonts w:cs="Arial"/>
        </w:rPr>
        <w:t>not</w:t>
      </w:r>
      <w:r w:rsidR="00076BFB" w:rsidRPr="00362372">
        <w:rPr>
          <w:rFonts w:cs="Arial"/>
        </w:rPr>
        <w:t xml:space="preserve"> impact on the bottom line for example Dedicated Schools Grant £143m which is paid out to education providers and Housing Benefit Subsidy £117m which is paid to Housing Benefit Claimants.</w:t>
      </w:r>
    </w:p>
    <w:p w14:paraId="0023BEF0" w14:textId="76609DA1" w:rsidR="001B4F9E" w:rsidRDefault="001B4F9E" w:rsidP="001B4F9E">
      <w:pPr>
        <w:pStyle w:val="ListParagraph"/>
        <w:ind w:left="460"/>
        <w:jc w:val="both"/>
        <w:rPr>
          <w:rFonts w:cs="Arial"/>
        </w:rPr>
      </w:pPr>
    </w:p>
    <w:p w14:paraId="0D17AB63" w14:textId="77777777" w:rsidR="0007066E" w:rsidRDefault="0007066E" w:rsidP="001B4F9E">
      <w:pPr>
        <w:pStyle w:val="ListParagraph"/>
        <w:ind w:left="460"/>
        <w:jc w:val="both"/>
        <w:rPr>
          <w:rFonts w:cs="Arial"/>
          <w:b/>
          <w:bCs/>
        </w:rPr>
      </w:pPr>
    </w:p>
    <w:p w14:paraId="738C1C47" w14:textId="12882C49" w:rsidR="001B4F9E" w:rsidRPr="001B4F9E" w:rsidRDefault="001B4F9E" w:rsidP="001B4F9E">
      <w:pPr>
        <w:pStyle w:val="ListParagraph"/>
        <w:ind w:left="460"/>
        <w:jc w:val="both"/>
        <w:rPr>
          <w:rFonts w:cs="Arial"/>
          <w:b/>
          <w:bCs/>
        </w:rPr>
      </w:pPr>
      <w:r w:rsidRPr="001B4F9E">
        <w:rPr>
          <w:rFonts w:cs="Arial"/>
          <w:b/>
          <w:bCs/>
        </w:rPr>
        <w:t>CARRY FORWARDS</w:t>
      </w:r>
    </w:p>
    <w:p w14:paraId="00A3D2AB" w14:textId="77777777" w:rsidR="001B4F9E" w:rsidRPr="001B4F9E" w:rsidRDefault="001B4F9E" w:rsidP="001B4F9E">
      <w:pPr>
        <w:pStyle w:val="ListParagraph"/>
        <w:ind w:left="460"/>
        <w:jc w:val="both"/>
        <w:rPr>
          <w:rFonts w:cs="Arial"/>
          <w:b/>
          <w:bCs/>
          <w:color w:val="FF0000"/>
        </w:rPr>
      </w:pPr>
    </w:p>
    <w:p w14:paraId="519AC85D" w14:textId="7D3EEF05" w:rsidR="001B4F9E" w:rsidRPr="006160A2" w:rsidRDefault="001B4F9E" w:rsidP="00AF06B3">
      <w:pPr>
        <w:pStyle w:val="ListParagraph"/>
        <w:numPr>
          <w:ilvl w:val="0"/>
          <w:numId w:val="4"/>
        </w:numPr>
        <w:ind w:left="460" w:hanging="567"/>
        <w:jc w:val="both"/>
        <w:rPr>
          <w:rFonts w:cs="Arial"/>
          <w:b/>
          <w:bCs/>
          <w:color w:val="FF0000"/>
        </w:rPr>
      </w:pPr>
      <w:r>
        <w:rPr>
          <w:rFonts w:cs="Arial"/>
        </w:rPr>
        <w:t>Attached at Appendix 2 is a schedule of the revenue budget carry forwards included in the final outturn for 2022-23 that will be carried forward to 2023-24</w:t>
      </w:r>
      <w:r w:rsidR="00325581">
        <w:rPr>
          <w:rFonts w:cs="Arial"/>
        </w:rPr>
        <w:t>.</w:t>
      </w:r>
      <w:r w:rsidR="009A6C0E">
        <w:rPr>
          <w:rFonts w:cs="Arial"/>
        </w:rPr>
        <w:t xml:space="preserve"> </w:t>
      </w:r>
      <w:r>
        <w:rPr>
          <w:rFonts w:cs="Arial"/>
        </w:rPr>
        <w:t>The carry forwards have been agreed by the Director of Finance in accordance with the Financial Regulations.</w:t>
      </w:r>
    </w:p>
    <w:p w14:paraId="6CF2C181" w14:textId="5C9B671B" w:rsidR="003C7F2F" w:rsidRPr="006160A2" w:rsidRDefault="003C7F2F" w:rsidP="003C7F2F">
      <w:pPr>
        <w:pStyle w:val="ListParagraph"/>
        <w:ind w:left="460"/>
        <w:jc w:val="both"/>
        <w:rPr>
          <w:rFonts w:cs="Arial"/>
          <w:b/>
          <w:bCs/>
          <w:color w:val="FF0000"/>
        </w:rPr>
      </w:pPr>
    </w:p>
    <w:p w14:paraId="54429010" w14:textId="6016B7A6" w:rsidR="006001C7" w:rsidRDefault="006001C7" w:rsidP="003C7F2F">
      <w:pPr>
        <w:pStyle w:val="ListParagraph"/>
        <w:ind w:left="460"/>
        <w:jc w:val="both"/>
        <w:rPr>
          <w:rFonts w:cs="Arial"/>
          <w:b/>
          <w:bCs/>
        </w:rPr>
      </w:pPr>
    </w:p>
    <w:p w14:paraId="62904E78" w14:textId="77777777" w:rsidR="0007066E" w:rsidRPr="003639A1" w:rsidRDefault="0007066E" w:rsidP="003C7F2F">
      <w:pPr>
        <w:pStyle w:val="ListParagraph"/>
        <w:ind w:left="460"/>
        <w:jc w:val="both"/>
        <w:rPr>
          <w:rFonts w:cs="Arial"/>
          <w:b/>
          <w:bCs/>
        </w:rPr>
      </w:pPr>
    </w:p>
    <w:p w14:paraId="6B97CDED" w14:textId="77777777" w:rsidR="00A556C0" w:rsidRPr="0007066E" w:rsidRDefault="00C57DF6" w:rsidP="00AF06B3">
      <w:pPr>
        <w:pStyle w:val="ListParagraph"/>
        <w:numPr>
          <w:ilvl w:val="0"/>
          <w:numId w:val="2"/>
        </w:numPr>
        <w:tabs>
          <w:tab w:val="left" w:pos="567"/>
        </w:tabs>
        <w:ind w:left="567" w:hanging="567"/>
        <w:jc w:val="both"/>
        <w:rPr>
          <w:rFonts w:cs="Arial"/>
          <w:b/>
          <w:szCs w:val="24"/>
        </w:rPr>
      </w:pPr>
      <w:r w:rsidRPr="0007066E">
        <w:rPr>
          <w:rFonts w:cs="Arial"/>
          <w:b/>
          <w:szCs w:val="24"/>
        </w:rPr>
        <w:t xml:space="preserve"> C</w:t>
      </w:r>
      <w:r w:rsidR="00603BA2" w:rsidRPr="0007066E">
        <w:rPr>
          <w:rFonts w:cs="Arial"/>
          <w:b/>
          <w:szCs w:val="24"/>
        </w:rPr>
        <w:t>APITAL PROGRAMME</w:t>
      </w:r>
    </w:p>
    <w:p w14:paraId="2BBA28AC" w14:textId="77777777" w:rsidR="00A556C0" w:rsidRPr="003639A1" w:rsidRDefault="00A556C0" w:rsidP="00A556C0">
      <w:pPr>
        <w:tabs>
          <w:tab w:val="left" w:pos="567"/>
        </w:tabs>
        <w:jc w:val="both"/>
        <w:rPr>
          <w:rFonts w:cs="Arial"/>
          <w:b/>
          <w:szCs w:val="24"/>
          <w:u w:val="single"/>
        </w:rPr>
      </w:pPr>
    </w:p>
    <w:p w14:paraId="1F432B6A" w14:textId="6E937882" w:rsidR="002D1874" w:rsidRPr="007235F3" w:rsidRDefault="001C512F" w:rsidP="00AF06B3">
      <w:pPr>
        <w:pStyle w:val="ListParagraph"/>
        <w:numPr>
          <w:ilvl w:val="0"/>
          <w:numId w:val="2"/>
        </w:numPr>
        <w:tabs>
          <w:tab w:val="left" w:pos="567"/>
        </w:tabs>
        <w:ind w:left="567" w:hanging="567"/>
        <w:jc w:val="both"/>
        <w:rPr>
          <w:rFonts w:cs="Arial"/>
          <w:b/>
          <w:szCs w:val="24"/>
          <w:u w:val="single"/>
        </w:rPr>
      </w:pPr>
      <w:r w:rsidRPr="003639A1">
        <w:rPr>
          <w:rFonts w:cs="Arial"/>
          <w:szCs w:val="24"/>
        </w:rPr>
        <w:t xml:space="preserve">The </w:t>
      </w:r>
      <w:r w:rsidR="00D04F65" w:rsidRPr="003639A1">
        <w:rPr>
          <w:rFonts w:cs="Arial"/>
          <w:szCs w:val="24"/>
        </w:rPr>
        <w:t xml:space="preserve">revised capital budget for </w:t>
      </w:r>
      <w:r w:rsidR="00735479" w:rsidRPr="003639A1">
        <w:rPr>
          <w:rFonts w:cs="Arial"/>
          <w:szCs w:val="24"/>
        </w:rPr>
        <w:t>2022-23</w:t>
      </w:r>
      <w:r w:rsidR="00C8102B" w:rsidRPr="003639A1">
        <w:rPr>
          <w:rFonts w:cs="Arial"/>
          <w:szCs w:val="24"/>
        </w:rPr>
        <w:t xml:space="preserve"> </w:t>
      </w:r>
      <w:r w:rsidR="00D04F65" w:rsidRPr="003639A1">
        <w:rPr>
          <w:rFonts w:cs="Arial"/>
          <w:szCs w:val="24"/>
        </w:rPr>
        <w:t xml:space="preserve">is </w:t>
      </w:r>
      <w:r w:rsidR="00BC0021" w:rsidRPr="003639A1">
        <w:rPr>
          <w:rFonts w:cs="Arial"/>
          <w:bCs/>
          <w:szCs w:val="24"/>
        </w:rPr>
        <w:t>£</w:t>
      </w:r>
      <w:r w:rsidR="00735479" w:rsidRPr="003639A1">
        <w:rPr>
          <w:rFonts w:cs="Arial"/>
          <w:bCs/>
          <w:szCs w:val="24"/>
        </w:rPr>
        <w:t>15</w:t>
      </w:r>
      <w:r w:rsidR="003639A1" w:rsidRPr="003639A1">
        <w:rPr>
          <w:rFonts w:cs="Arial"/>
          <w:bCs/>
          <w:szCs w:val="24"/>
        </w:rPr>
        <w:t>6</w:t>
      </w:r>
      <w:r w:rsidR="00735479" w:rsidRPr="003639A1">
        <w:rPr>
          <w:rFonts w:cs="Arial"/>
          <w:bCs/>
          <w:szCs w:val="24"/>
        </w:rPr>
        <w:t>.</w:t>
      </w:r>
      <w:r w:rsidR="003639A1" w:rsidRPr="003639A1">
        <w:rPr>
          <w:rFonts w:cs="Arial"/>
          <w:bCs/>
          <w:szCs w:val="24"/>
        </w:rPr>
        <w:t>161</w:t>
      </w:r>
      <w:r w:rsidR="00735479" w:rsidRPr="003639A1">
        <w:rPr>
          <w:rFonts w:cs="Arial"/>
          <w:bCs/>
          <w:szCs w:val="24"/>
        </w:rPr>
        <w:t>m</w:t>
      </w:r>
      <w:r w:rsidR="00BC0021" w:rsidRPr="003639A1">
        <w:rPr>
          <w:rFonts w:cs="Arial"/>
          <w:bCs/>
          <w:szCs w:val="24"/>
        </w:rPr>
        <w:t xml:space="preserve"> </w:t>
      </w:r>
      <w:r w:rsidR="00D62AA2" w:rsidRPr="003639A1">
        <w:rPr>
          <w:rFonts w:cs="Arial"/>
          <w:bCs/>
          <w:szCs w:val="24"/>
        </w:rPr>
        <w:t>as set out at Table</w:t>
      </w:r>
      <w:r w:rsidR="00C920C9" w:rsidRPr="003639A1">
        <w:rPr>
          <w:rFonts w:cs="Arial"/>
          <w:bCs/>
          <w:szCs w:val="24"/>
        </w:rPr>
        <w:t xml:space="preserve"> </w:t>
      </w:r>
      <w:r w:rsidR="002E0F2C" w:rsidRPr="003639A1">
        <w:rPr>
          <w:rFonts w:cs="Arial"/>
          <w:bCs/>
          <w:szCs w:val="24"/>
        </w:rPr>
        <w:t>11</w:t>
      </w:r>
      <w:r w:rsidR="002F500F" w:rsidRPr="003639A1">
        <w:rPr>
          <w:rFonts w:cs="Arial"/>
          <w:bCs/>
          <w:szCs w:val="24"/>
        </w:rPr>
        <w:t xml:space="preserve"> and in more detail at Appendix </w:t>
      </w:r>
      <w:r w:rsidR="00E1162B">
        <w:rPr>
          <w:rFonts w:cs="Arial"/>
          <w:bCs/>
          <w:szCs w:val="24"/>
        </w:rPr>
        <w:t>3</w:t>
      </w:r>
      <w:r w:rsidR="001546BF" w:rsidRPr="003639A1">
        <w:rPr>
          <w:rFonts w:cs="Arial"/>
          <w:bCs/>
          <w:szCs w:val="24"/>
        </w:rPr>
        <w:t>:</w:t>
      </w:r>
    </w:p>
    <w:p w14:paraId="00ACFECD" w14:textId="77777777" w:rsidR="007235F3" w:rsidRPr="007235F3" w:rsidRDefault="007235F3" w:rsidP="007235F3">
      <w:pPr>
        <w:pStyle w:val="ListParagraph"/>
        <w:rPr>
          <w:rFonts w:cs="Arial"/>
          <w:b/>
          <w:szCs w:val="24"/>
          <w:u w:val="single"/>
        </w:rPr>
      </w:pPr>
    </w:p>
    <w:p w14:paraId="2A830D96" w14:textId="0BC8FD50" w:rsidR="007235F3" w:rsidRDefault="007235F3" w:rsidP="007235F3">
      <w:pPr>
        <w:tabs>
          <w:tab w:val="left" w:pos="567"/>
        </w:tabs>
        <w:jc w:val="both"/>
        <w:rPr>
          <w:rFonts w:cs="Arial"/>
          <w:b/>
          <w:szCs w:val="24"/>
          <w:u w:val="single"/>
        </w:rPr>
      </w:pPr>
    </w:p>
    <w:p w14:paraId="38AA9AE3" w14:textId="0404D27B" w:rsidR="007235F3" w:rsidRDefault="007235F3" w:rsidP="007235F3">
      <w:pPr>
        <w:tabs>
          <w:tab w:val="left" w:pos="567"/>
        </w:tabs>
        <w:jc w:val="both"/>
        <w:rPr>
          <w:rFonts w:cs="Arial"/>
          <w:b/>
          <w:szCs w:val="24"/>
          <w:u w:val="single"/>
        </w:rPr>
      </w:pPr>
    </w:p>
    <w:p w14:paraId="480B6E42" w14:textId="7991AEF1" w:rsidR="007235F3" w:rsidRDefault="007235F3" w:rsidP="007235F3">
      <w:pPr>
        <w:tabs>
          <w:tab w:val="left" w:pos="567"/>
        </w:tabs>
        <w:jc w:val="both"/>
        <w:rPr>
          <w:rFonts w:cs="Arial"/>
          <w:b/>
          <w:szCs w:val="24"/>
          <w:u w:val="single"/>
        </w:rPr>
      </w:pPr>
    </w:p>
    <w:p w14:paraId="64F15300" w14:textId="190A2628" w:rsidR="007235F3" w:rsidRDefault="007235F3" w:rsidP="007235F3">
      <w:pPr>
        <w:tabs>
          <w:tab w:val="left" w:pos="567"/>
        </w:tabs>
        <w:jc w:val="both"/>
        <w:rPr>
          <w:rFonts w:cs="Arial"/>
          <w:b/>
          <w:szCs w:val="24"/>
          <w:u w:val="single"/>
        </w:rPr>
      </w:pPr>
    </w:p>
    <w:p w14:paraId="35668960" w14:textId="39B0EE3C" w:rsidR="007235F3" w:rsidRDefault="007235F3" w:rsidP="007235F3">
      <w:pPr>
        <w:tabs>
          <w:tab w:val="left" w:pos="567"/>
        </w:tabs>
        <w:jc w:val="both"/>
        <w:rPr>
          <w:rFonts w:cs="Arial"/>
          <w:b/>
          <w:szCs w:val="24"/>
          <w:u w:val="single"/>
        </w:rPr>
      </w:pPr>
    </w:p>
    <w:p w14:paraId="53B03CC7" w14:textId="2B1874FD" w:rsidR="007235F3" w:rsidRDefault="007235F3" w:rsidP="007235F3">
      <w:pPr>
        <w:tabs>
          <w:tab w:val="left" w:pos="567"/>
        </w:tabs>
        <w:jc w:val="both"/>
        <w:rPr>
          <w:rFonts w:cs="Arial"/>
          <w:b/>
          <w:szCs w:val="24"/>
          <w:u w:val="single"/>
        </w:rPr>
      </w:pPr>
    </w:p>
    <w:p w14:paraId="644CC774" w14:textId="708C9A29" w:rsidR="007235F3" w:rsidRDefault="007235F3" w:rsidP="007235F3">
      <w:pPr>
        <w:tabs>
          <w:tab w:val="left" w:pos="567"/>
        </w:tabs>
        <w:jc w:val="both"/>
        <w:rPr>
          <w:rFonts w:cs="Arial"/>
          <w:b/>
          <w:szCs w:val="24"/>
          <w:u w:val="single"/>
        </w:rPr>
      </w:pPr>
    </w:p>
    <w:p w14:paraId="5D02FBBF" w14:textId="77777777" w:rsidR="007235F3" w:rsidRPr="007235F3" w:rsidRDefault="007235F3" w:rsidP="007235F3">
      <w:pPr>
        <w:tabs>
          <w:tab w:val="left" w:pos="567"/>
        </w:tabs>
        <w:jc w:val="both"/>
        <w:rPr>
          <w:rFonts w:cs="Arial"/>
          <w:b/>
          <w:szCs w:val="24"/>
          <w:u w:val="single"/>
        </w:rPr>
      </w:pPr>
    </w:p>
    <w:p w14:paraId="42923961" w14:textId="551F3266" w:rsidR="00DD6F38" w:rsidRDefault="00DD6F38" w:rsidP="004052E3">
      <w:pPr>
        <w:ind w:left="567" w:hanging="567"/>
        <w:rPr>
          <w:rFonts w:cs="Arial"/>
          <w:b/>
          <w:color w:val="FF0000"/>
          <w:szCs w:val="24"/>
        </w:rPr>
      </w:pPr>
    </w:p>
    <w:p w14:paraId="28DD66F8" w14:textId="50C411DB" w:rsidR="0007066E" w:rsidRDefault="0007066E" w:rsidP="004052E3">
      <w:pPr>
        <w:ind w:left="567" w:hanging="567"/>
        <w:rPr>
          <w:rFonts w:cs="Arial"/>
          <w:b/>
          <w:color w:val="FF0000"/>
          <w:szCs w:val="24"/>
        </w:rPr>
      </w:pPr>
    </w:p>
    <w:p w14:paraId="0CEDEFA1" w14:textId="1F0EAAA3" w:rsidR="0007066E" w:rsidRDefault="0007066E" w:rsidP="004052E3">
      <w:pPr>
        <w:ind w:left="567" w:hanging="567"/>
        <w:rPr>
          <w:rFonts w:cs="Arial"/>
          <w:b/>
          <w:color w:val="FF0000"/>
          <w:szCs w:val="24"/>
        </w:rPr>
      </w:pPr>
    </w:p>
    <w:p w14:paraId="10B4FD12" w14:textId="0A5D4474" w:rsidR="0007066E" w:rsidRDefault="0007066E" w:rsidP="004052E3">
      <w:pPr>
        <w:ind w:left="567" w:hanging="567"/>
        <w:rPr>
          <w:rFonts w:cs="Arial"/>
          <w:b/>
          <w:color w:val="FF0000"/>
          <w:szCs w:val="24"/>
        </w:rPr>
      </w:pPr>
    </w:p>
    <w:p w14:paraId="3717D05C" w14:textId="77777777" w:rsidR="0007066E" w:rsidRDefault="0007066E" w:rsidP="004052E3">
      <w:pPr>
        <w:ind w:left="567" w:hanging="567"/>
        <w:rPr>
          <w:rFonts w:cs="Arial"/>
          <w:b/>
          <w:color w:val="FF0000"/>
          <w:szCs w:val="24"/>
        </w:rPr>
      </w:pPr>
    </w:p>
    <w:p w14:paraId="087E9BBD" w14:textId="27A1386F" w:rsidR="007C5E43" w:rsidRDefault="004052E3" w:rsidP="00E5543D">
      <w:pPr>
        <w:ind w:left="567" w:hanging="567"/>
        <w:rPr>
          <w:rFonts w:cs="Arial"/>
          <w:b/>
          <w:szCs w:val="24"/>
          <w:u w:val="single"/>
        </w:rPr>
      </w:pPr>
      <w:r w:rsidRPr="003639A1">
        <w:rPr>
          <w:rFonts w:cs="Arial"/>
          <w:b/>
          <w:szCs w:val="24"/>
          <w:u w:val="single"/>
        </w:rPr>
        <w:lastRenderedPageBreak/>
        <w:t xml:space="preserve">Table </w:t>
      </w:r>
      <w:r w:rsidR="002E0F2C" w:rsidRPr="003639A1">
        <w:rPr>
          <w:rFonts w:cs="Arial"/>
          <w:b/>
          <w:szCs w:val="24"/>
          <w:u w:val="single"/>
        </w:rPr>
        <w:t>11</w:t>
      </w:r>
      <w:r w:rsidRPr="003639A1">
        <w:rPr>
          <w:rFonts w:cs="Arial"/>
          <w:b/>
          <w:szCs w:val="24"/>
          <w:u w:val="single"/>
        </w:rPr>
        <w:t xml:space="preserve">: Capital Programme Budget 2022-23 </w:t>
      </w:r>
      <w:r w:rsidR="003639A1" w:rsidRPr="003639A1">
        <w:rPr>
          <w:rFonts w:cs="Arial"/>
          <w:b/>
          <w:szCs w:val="24"/>
          <w:u w:val="single"/>
        </w:rPr>
        <w:t>Final Outturn</w:t>
      </w:r>
    </w:p>
    <w:p w14:paraId="6EFEBA16" w14:textId="77777777" w:rsidR="0007066E" w:rsidRPr="003639A1" w:rsidRDefault="0007066E" w:rsidP="00E5543D">
      <w:pPr>
        <w:ind w:left="567" w:hanging="567"/>
        <w:rPr>
          <w:rFonts w:cs="Arial"/>
          <w:b/>
          <w:szCs w:val="24"/>
        </w:rPr>
      </w:pPr>
    </w:p>
    <w:p w14:paraId="4FD56A0F" w14:textId="62E3CBD7" w:rsidR="00E5543D" w:rsidRPr="006160A2" w:rsidRDefault="003639A1" w:rsidP="00AA1332">
      <w:pPr>
        <w:ind w:hanging="567"/>
        <w:rPr>
          <w:noProof/>
          <w:color w:val="FF0000"/>
        </w:rPr>
      </w:pPr>
      <w:r w:rsidRPr="003639A1">
        <w:rPr>
          <w:noProof/>
        </w:rPr>
        <w:drawing>
          <wp:inline distT="0" distB="0" distL="0" distR="0" wp14:anchorId="111B8304" wp14:editId="047A74CA">
            <wp:extent cx="6674796" cy="343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77275" cy="3436626"/>
                    </a:xfrm>
                    <a:prstGeom prst="rect">
                      <a:avLst/>
                    </a:prstGeom>
                    <a:noFill/>
                    <a:ln>
                      <a:noFill/>
                    </a:ln>
                  </pic:spPr>
                </pic:pic>
              </a:graphicData>
            </a:graphic>
          </wp:inline>
        </w:drawing>
      </w:r>
    </w:p>
    <w:p w14:paraId="1E04C938" w14:textId="076D2D1D" w:rsidR="0081366B" w:rsidRPr="003639A1" w:rsidRDefault="0081366B" w:rsidP="00AA1332">
      <w:pPr>
        <w:ind w:hanging="567"/>
        <w:rPr>
          <w:rFonts w:cs="Arial"/>
          <w:b/>
          <w:szCs w:val="24"/>
        </w:rPr>
      </w:pPr>
    </w:p>
    <w:p w14:paraId="06E99F91" w14:textId="58B6414C" w:rsidR="00350DF4" w:rsidRPr="00350DF4" w:rsidRDefault="003639A1" w:rsidP="00350DF4">
      <w:pPr>
        <w:pStyle w:val="ListParagraph"/>
        <w:numPr>
          <w:ilvl w:val="0"/>
          <w:numId w:val="2"/>
        </w:numPr>
        <w:tabs>
          <w:tab w:val="left" w:pos="567"/>
        </w:tabs>
        <w:ind w:left="567" w:right="140" w:hanging="567"/>
        <w:contextualSpacing/>
        <w:jc w:val="both"/>
        <w:rPr>
          <w:rFonts w:cs="Arial"/>
          <w:bCs/>
          <w:color w:val="FF0000"/>
          <w:szCs w:val="24"/>
        </w:rPr>
      </w:pPr>
      <w:r w:rsidRPr="003639A1">
        <w:rPr>
          <w:rFonts w:cs="Arial"/>
          <w:bCs/>
          <w:szCs w:val="24"/>
        </w:rPr>
        <w:t>The final general fund capital programme budget in 2022-23 is £103.307m. The net outturn position on the capital budget at the end of the financial year is £25.388m which represents 25% of the total capital programme budget. The variance of £77.919m is made up of slippage of £74.436m and an underspend of £3.484m</w:t>
      </w:r>
      <w:r w:rsidR="00350DF4">
        <w:rPr>
          <w:rFonts w:cs="Arial"/>
          <w:bCs/>
          <w:szCs w:val="24"/>
        </w:rPr>
        <w:t>.</w:t>
      </w:r>
      <w:r w:rsidR="008F4AED">
        <w:rPr>
          <w:rFonts w:cs="Arial"/>
          <w:bCs/>
          <w:szCs w:val="24"/>
        </w:rPr>
        <w:t xml:space="preserve"> Of the £3.484m underspend, £1.778m relates to schemes funded by external funding and the remaining £1.7m relates to schemes funded from borrowing. The underspend on schemes funded by </w:t>
      </w:r>
      <w:r w:rsidR="00E42991">
        <w:rPr>
          <w:rFonts w:cs="Arial"/>
          <w:bCs/>
          <w:szCs w:val="24"/>
        </w:rPr>
        <w:t>borrowing</w:t>
      </w:r>
      <w:r w:rsidR="008F4AED">
        <w:rPr>
          <w:rFonts w:cs="Arial"/>
          <w:bCs/>
          <w:szCs w:val="24"/>
        </w:rPr>
        <w:t xml:space="preserve"> will produce capital financing savings which will contribute towards the capital financing savings incorporated in the current MTFS.</w:t>
      </w:r>
      <w:r w:rsidR="00214FF4">
        <w:rPr>
          <w:rFonts w:cs="Arial"/>
          <w:bCs/>
          <w:szCs w:val="24"/>
        </w:rPr>
        <w:t xml:space="preserve"> Since the capital programme has such a significant underspend there will be a review of slippages in light of the outturn position</w:t>
      </w:r>
    </w:p>
    <w:p w14:paraId="1BCDACEE" w14:textId="77777777" w:rsidR="00350DF4" w:rsidRPr="00350DF4" w:rsidRDefault="00350DF4" w:rsidP="00350DF4">
      <w:pPr>
        <w:pStyle w:val="ListParagraph"/>
        <w:tabs>
          <w:tab w:val="left" w:pos="567"/>
        </w:tabs>
        <w:ind w:left="567" w:right="140"/>
        <w:contextualSpacing/>
        <w:jc w:val="both"/>
        <w:rPr>
          <w:rFonts w:cs="Arial"/>
          <w:bCs/>
          <w:color w:val="FF0000"/>
          <w:szCs w:val="24"/>
        </w:rPr>
      </w:pPr>
    </w:p>
    <w:p w14:paraId="38463153" w14:textId="4B9B31AE" w:rsidR="00E5543D" w:rsidRPr="00350DF4" w:rsidRDefault="00350DF4" w:rsidP="00350DF4">
      <w:pPr>
        <w:pStyle w:val="ListParagraph"/>
        <w:numPr>
          <w:ilvl w:val="0"/>
          <w:numId w:val="2"/>
        </w:numPr>
        <w:tabs>
          <w:tab w:val="left" w:pos="567"/>
        </w:tabs>
        <w:ind w:left="567" w:right="140" w:hanging="567"/>
        <w:contextualSpacing/>
        <w:jc w:val="both"/>
        <w:rPr>
          <w:rFonts w:cs="Arial"/>
          <w:bCs/>
          <w:color w:val="FF0000"/>
          <w:szCs w:val="24"/>
        </w:rPr>
      </w:pPr>
      <w:r w:rsidRPr="00350DF4">
        <w:rPr>
          <w:rFonts w:cs="Arial"/>
          <w:bCs/>
          <w:szCs w:val="24"/>
        </w:rPr>
        <w:t>The Housing Revenue Account (HRA) capital programme budget is £52.854m. The final outturn position on the HRA capital budget at the end of the financial year is £14.989m which represents 28% of the total HRA capital programme budget. The variance of £37.866m is made up of slippage of £24.357m and a net underspend of £13.508m.</w:t>
      </w:r>
    </w:p>
    <w:p w14:paraId="25B8A95E" w14:textId="3BE6EBA2" w:rsidR="00E5543D" w:rsidRPr="006160A2" w:rsidRDefault="00E5543D" w:rsidP="00E5543D">
      <w:pPr>
        <w:pStyle w:val="ListParagraph"/>
        <w:tabs>
          <w:tab w:val="left" w:pos="567"/>
        </w:tabs>
        <w:ind w:left="567" w:right="140"/>
        <w:contextualSpacing/>
        <w:jc w:val="both"/>
        <w:rPr>
          <w:rFonts w:cs="Arial"/>
          <w:bCs/>
          <w:color w:val="FF0000"/>
          <w:szCs w:val="24"/>
        </w:rPr>
      </w:pPr>
    </w:p>
    <w:p w14:paraId="24EA8949" w14:textId="77777777" w:rsidR="00E5543D" w:rsidRPr="00EB458E" w:rsidRDefault="00E5543D" w:rsidP="00E5543D">
      <w:pPr>
        <w:pStyle w:val="ListParagraph"/>
        <w:tabs>
          <w:tab w:val="left" w:pos="567"/>
        </w:tabs>
        <w:ind w:left="567" w:right="140"/>
        <w:contextualSpacing/>
        <w:jc w:val="both"/>
        <w:rPr>
          <w:rFonts w:cs="Arial"/>
          <w:bCs/>
          <w:szCs w:val="24"/>
        </w:rPr>
      </w:pPr>
    </w:p>
    <w:p w14:paraId="2E01B36C" w14:textId="5CE3E9A2" w:rsidR="00A556C0" w:rsidRPr="00EB458E" w:rsidRDefault="00A556C0" w:rsidP="00800A69">
      <w:pPr>
        <w:ind w:left="567" w:right="140"/>
        <w:rPr>
          <w:rFonts w:cs="Arial"/>
          <w:b/>
          <w:szCs w:val="24"/>
          <w:u w:val="single"/>
        </w:rPr>
      </w:pPr>
      <w:r w:rsidRPr="00EB458E">
        <w:rPr>
          <w:rFonts w:cs="Arial"/>
          <w:b/>
          <w:szCs w:val="24"/>
          <w:u w:val="single"/>
        </w:rPr>
        <w:t>RESOURCES</w:t>
      </w:r>
    </w:p>
    <w:p w14:paraId="112C16C2" w14:textId="77777777" w:rsidR="001859C2" w:rsidRPr="00EB458E" w:rsidRDefault="001859C2" w:rsidP="001859C2">
      <w:pPr>
        <w:pStyle w:val="ListParagraph"/>
        <w:tabs>
          <w:tab w:val="left" w:pos="567"/>
        </w:tabs>
        <w:ind w:left="567" w:right="140"/>
        <w:contextualSpacing/>
        <w:jc w:val="both"/>
        <w:rPr>
          <w:rFonts w:cs="Arial"/>
          <w:szCs w:val="24"/>
        </w:rPr>
      </w:pPr>
    </w:p>
    <w:p w14:paraId="10AE95EB" w14:textId="2343A6ED" w:rsidR="00861BFD" w:rsidRPr="00EB458E" w:rsidRDefault="00BB63EC" w:rsidP="00861BFD">
      <w:pPr>
        <w:pStyle w:val="ListParagraph"/>
        <w:numPr>
          <w:ilvl w:val="0"/>
          <w:numId w:val="2"/>
        </w:numPr>
        <w:tabs>
          <w:tab w:val="left" w:pos="567"/>
        </w:tabs>
        <w:ind w:left="567" w:right="140" w:hanging="567"/>
        <w:contextualSpacing/>
        <w:jc w:val="both"/>
        <w:rPr>
          <w:rFonts w:cs="Arial"/>
          <w:b/>
          <w:szCs w:val="24"/>
          <w:lang w:val="en-US"/>
        </w:rPr>
      </w:pPr>
      <w:r w:rsidRPr="00EB458E">
        <w:rPr>
          <w:rFonts w:cs="Arial"/>
          <w:szCs w:val="24"/>
        </w:rPr>
        <w:t xml:space="preserve">As at </w:t>
      </w:r>
      <w:r w:rsidR="00EB458E" w:rsidRPr="00EB458E">
        <w:rPr>
          <w:rFonts w:cs="Arial"/>
          <w:szCs w:val="24"/>
        </w:rPr>
        <w:t>the end of the financial year the final spend is £3.641m against a budget of £12.129m representing 30% of the total budget. The variance of £8.488m will be slipped to 2023-24.</w:t>
      </w:r>
    </w:p>
    <w:p w14:paraId="400959A5" w14:textId="77777777" w:rsidR="00861BFD" w:rsidRPr="00EB458E" w:rsidRDefault="00861BFD" w:rsidP="00861BFD">
      <w:pPr>
        <w:pStyle w:val="ListParagraph"/>
        <w:tabs>
          <w:tab w:val="left" w:pos="567"/>
        </w:tabs>
        <w:ind w:left="1440" w:right="140"/>
        <w:contextualSpacing/>
        <w:jc w:val="both"/>
        <w:rPr>
          <w:rFonts w:cs="Arial"/>
          <w:b/>
          <w:szCs w:val="24"/>
          <w:lang w:val="en-US"/>
        </w:rPr>
      </w:pPr>
    </w:p>
    <w:p w14:paraId="73297EE0" w14:textId="3033DEBA" w:rsidR="00861BFD" w:rsidRPr="00EB458E" w:rsidRDefault="00861BFD" w:rsidP="00861BFD">
      <w:pPr>
        <w:pStyle w:val="ListParagraph"/>
        <w:numPr>
          <w:ilvl w:val="1"/>
          <w:numId w:val="2"/>
        </w:numPr>
        <w:tabs>
          <w:tab w:val="left" w:pos="567"/>
        </w:tabs>
        <w:ind w:left="1134" w:right="140" w:hanging="567"/>
        <w:contextualSpacing/>
        <w:jc w:val="both"/>
        <w:rPr>
          <w:rFonts w:cs="Arial"/>
          <w:b/>
          <w:szCs w:val="24"/>
          <w:lang w:val="en-US"/>
        </w:rPr>
      </w:pPr>
      <w:r w:rsidRPr="00EB458E">
        <w:rPr>
          <w:rFonts w:cs="Arial"/>
          <w:b/>
          <w:bCs/>
          <w:szCs w:val="24"/>
        </w:rPr>
        <w:lastRenderedPageBreak/>
        <w:t>Digital Improvement Programme</w:t>
      </w:r>
      <w:r w:rsidRPr="00EB458E">
        <w:rPr>
          <w:rFonts w:cs="Arial"/>
          <w:szCs w:val="24"/>
        </w:rPr>
        <w:t xml:space="preserve"> - £</w:t>
      </w:r>
      <w:r w:rsidR="00EB458E" w:rsidRPr="00EB458E">
        <w:rPr>
          <w:rFonts w:cs="Arial"/>
          <w:szCs w:val="24"/>
        </w:rPr>
        <w:t>1.033m</w:t>
      </w:r>
      <w:r w:rsidRPr="00EB458E">
        <w:rPr>
          <w:rFonts w:cs="Arial"/>
          <w:szCs w:val="24"/>
        </w:rPr>
        <w:t xml:space="preserve"> slippage relates to the </w:t>
      </w:r>
      <w:r w:rsidR="009F16FD" w:rsidRPr="00EB458E">
        <w:rPr>
          <w:rFonts w:cs="Arial"/>
          <w:szCs w:val="24"/>
        </w:rPr>
        <w:t>replacement of Careline devices</w:t>
      </w:r>
      <w:r w:rsidR="00214FF4">
        <w:rPr>
          <w:rFonts w:cs="Arial"/>
          <w:szCs w:val="24"/>
        </w:rPr>
        <w:t xml:space="preserve"> </w:t>
      </w:r>
      <w:r w:rsidR="009F16FD" w:rsidRPr="00EB458E">
        <w:rPr>
          <w:rFonts w:cs="Arial"/>
          <w:szCs w:val="24"/>
        </w:rPr>
        <w:t xml:space="preserve">delay in delivery due to a worldwide shortage of </w:t>
      </w:r>
      <w:r w:rsidRPr="00EB458E">
        <w:rPr>
          <w:rFonts w:cs="Arial"/>
          <w:szCs w:val="24"/>
        </w:rPr>
        <w:t>parts and scaled down production of the devices.</w:t>
      </w:r>
    </w:p>
    <w:p w14:paraId="75194FE8" w14:textId="77777777" w:rsidR="00861BFD" w:rsidRPr="00EB458E" w:rsidRDefault="00861BFD" w:rsidP="00861BFD">
      <w:pPr>
        <w:pStyle w:val="ListParagraph"/>
        <w:tabs>
          <w:tab w:val="left" w:pos="567"/>
        </w:tabs>
        <w:ind w:left="1134" w:right="140" w:hanging="567"/>
        <w:contextualSpacing/>
        <w:jc w:val="both"/>
        <w:rPr>
          <w:rFonts w:cs="Arial"/>
          <w:b/>
          <w:szCs w:val="24"/>
          <w:lang w:val="en-US"/>
        </w:rPr>
      </w:pPr>
    </w:p>
    <w:p w14:paraId="0D0B062A" w14:textId="46CACAAB" w:rsidR="00861BFD" w:rsidRPr="00EB458E" w:rsidRDefault="00861BFD" w:rsidP="00861BFD">
      <w:pPr>
        <w:pStyle w:val="ListParagraph"/>
        <w:numPr>
          <w:ilvl w:val="1"/>
          <w:numId w:val="2"/>
        </w:numPr>
        <w:tabs>
          <w:tab w:val="left" w:pos="567"/>
        </w:tabs>
        <w:ind w:left="1134" w:right="140" w:hanging="567"/>
        <w:contextualSpacing/>
        <w:jc w:val="both"/>
        <w:rPr>
          <w:rFonts w:cs="Arial"/>
          <w:b/>
          <w:szCs w:val="24"/>
          <w:lang w:val="en-US"/>
        </w:rPr>
      </w:pPr>
      <w:r w:rsidRPr="00EB458E">
        <w:rPr>
          <w:rFonts w:cs="Arial"/>
          <w:b/>
          <w:szCs w:val="24"/>
          <w:lang w:val="en-US"/>
        </w:rPr>
        <w:t>ICT Refresh</w:t>
      </w:r>
      <w:r w:rsidRPr="00EB458E">
        <w:rPr>
          <w:rFonts w:cs="Arial"/>
          <w:bCs/>
          <w:szCs w:val="24"/>
          <w:lang w:val="en-US"/>
        </w:rPr>
        <w:t xml:space="preserve"> - £2.</w:t>
      </w:r>
      <w:r w:rsidR="00EB458E" w:rsidRPr="00EB458E">
        <w:rPr>
          <w:rFonts w:cs="Arial"/>
          <w:bCs/>
          <w:szCs w:val="24"/>
          <w:lang w:val="en-US"/>
        </w:rPr>
        <w:t>559</w:t>
      </w:r>
      <w:r w:rsidRPr="00EB458E">
        <w:rPr>
          <w:rFonts w:cs="Arial"/>
          <w:bCs/>
          <w:szCs w:val="24"/>
          <w:lang w:val="en-US"/>
        </w:rPr>
        <w:t xml:space="preserve">m slippage in relation to the ongoing ICT Refresh, Devolved </w:t>
      </w:r>
      <w:r w:rsidR="007059B0" w:rsidRPr="00EB458E">
        <w:rPr>
          <w:rFonts w:cs="Arial"/>
          <w:bCs/>
          <w:szCs w:val="24"/>
          <w:lang w:val="en-US"/>
        </w:rPr>
        <w:t>Applications,</w:t>
      </w:r>
      <w:r w:rsidRPr="00EB458E">
        <w:rPr>
          <w:rFonts w:cs="Arial"/>
          <w:bCs/>
          <w:szCs w:val="24"/>
          <w:lang w:val="en-US"/>
        </w:rPr>
        <w:t xml:space="preserve"> and other </w:t>
      </w:r>
      <w:proofErr w:type="spellStart"/>
      <w:r w:rsidRPr="00EB458E">
        <w:rPr>
          <w:rFonts w:cs="Arial"/>
          <w:bCs/>
          <w:szCs w:val="24"/>
          <w:lang w:val="en-US"/>
        </w:rPr>
        <w:t>digitalisation</w:t>
      </w:r>
      <w:proofErr w:type="spellEnd"/>
      <w:r w:rsidRPr="00EB458E">
        <w:rPr>
          <w:rFonts w:cs="Arial"/>
          <w:bCs/>
          <w:szCs w:val="24"/>
          <w:lang w:val="en-US"/>
        </w:rPr>
        <w:t xml:space="preserve"> </w:t>
      </w:r>
      <w:proofErr w:type="spellStart"/>
      <w:r w:rsidRPr="00EB458E">
        <w:rPr>
          <w:rFonts w:cs="Arial"/>
          <w:bCs/>
          <w:szCs w:val="24"/>
          <w:lang w:val="en-US"/>
        </w:rPr>
        <w:t>pr</w:t>
      </w:r>
      <w:r w:rsidR="007059B0" w:rsidRPr="00EB458E">
        <w:rPr>
          <w:rFonts w:cs="Arial"/>
          <w:bCs/>
          <w:szCs w:val="24"/>
          <w:lang w:val="en-US"/>
        </w:rPr>
        <w:t>og</w:t>
      </w:r>
      <w:r w:rsidRPr="00EB458E">
        <w:rPr>
          <w:rFonts w:cs="Arial"/>
          <w:bCs/>
          <w:szCs w:val="24"/>
          <w:lang w:val="en-US"/>
        </w:rPr>
        <w:t>ramme</w:t>
      </w:r>
      <w:proofErr w:type="spellEnd"/>
      <w:r w:rsidRPr="00EB458E">
        <w:rPr>
          <w:rFonts w:cs="Arial"/>
          <w:bCs/>
          <w:szCs w:val="24"/>
          <w:lang w:val="en-US"/>
        </w:rPr>
        <w:t xml:space="preserve"> which reflects changing </w:t>
      </w:r>
      <w:r w:rsidR="007059B0" w:rsidRPr="00EB458E">
        <w:rPr>
          <w:rFonts w:cs="Arial"/>
          <w:bCs/>
          <w:szCs w:val="24"/>
          <w:lang w:val="en-US"/>
        </w:rPr>
        <w:t>priorities</w:t>
      </w:r>
      <w:r w:rsidRPr="00EB458E">
        <w:rPr>
          <w:rFonts w:cs="Arial"/>
          <w:bCs/>
          <w:szCs w:val="24"/>
          <w:lang w:val="en-US"/>
        </w:rPr>
        <w:t xml:space="preserve"> and revised timescales of current schemes which will complete in the next financial year.</w:t>
      </w:r>
    </w:p>
    <w:p w14:paraId="109377A2" w14:textId="77777777" w:rsidR="00EB458E" w:rsidRPr="00EB458E" w:rsidRDefault="00EB458E" w:rsidP="00EB458E">
      <w:pPr>
        <w:pStyle w:val="ListParagraph"/>
        <w:rPr>
          <w:rFonts w:cs="Arial"/>
          <w:b/>
          <w:szCs w:val="24"/>
          <w:lang w:val="en-US"/>
        </w:rPr>
      </w:pPr>
    </w:p>
    <w:p w14:paraId="7C7E33BB" w14:textId="3646D98C" w:rsidR="00EB458E" w:rsidRPr="00EB458E" w:rsidRDefault="00EB458E" w:rsidP="00861BFD">
      <w:pPr>
        <w:pStyle w:val="ListParagraph"/>
        <w:numPr>
          <w:ilvl w:val="1"/>
          <w:numId w:val="2"/>
        </w:numPr>
        <w:tabs>
          <w:tab w:val="left" w:pos="567"/>
        </w:tabs>
        <w:ind w:left="1134" w:right="140" w:hanging="567"/>
        <w:contextualSpacing/>
        <w:jc w:val="both"/>
        <w:rPr>
          <w:rFonts w:cs="Arial"/>
          <w:b/>
          <w:szCs w:val="24"/>
          <w:lang w:val="en-US"/>
        </w:rPr>
      </w:pPr>
      <w:r w:rsidRPr="00EB458E">
        <w:rPr>
          <w:rFonts w:cs="Arial"/>
          <w:b/>
          <w:szCs w:val="24"/>
          <w:lang w:val="en-US"/>
        </w:rPr>
        <w:t>Other Council Wide schemes</w:t>
      </w:r>
      <w:r w:rsidRPr="00EB458E">
        <w:rPr>
          <w:rFonts w:cs="Arial"/>
          <w:bCs/>
          <w:szCs w:val="24"/>
          <w:lang w:val="en-US"/>
        </w:rPr>
        <w:t xml:space="preserve"> - £2.249m slippage. This relates to estimated spend of £1.7m for critical works to </w:t>
      </w:r>
      <w:proofErr w:type="spellStart"/>
      <w:r w:rsidRPr="00EB458E">
        <w:rPr>
          <w:rFonts w:cs="Arial"/>
          <w:bCs/>
          <w:szCs w:val="24"/>
          <w:lang w:val="en-US"/>
        </w:rPr>
        <w:t>Sancroft</w:t>
      </w:r>
      <w:proofErr w:type="spellEnd"/>
      <w:r w:rsidRPr="00EB458E">
        <w:rPr>
          <w:rFonts w:cs="Arial"/>
          <w:bCs/>
          <w:szCs w:val="24"/>
          <w:lang w:val="en-US"/>
        </w:rPr>
        <w:t xml:space="preserve"> Care Home approved in April 2023 to be carried out in 2023-24. The remaining slippage will be allocated to future council wide schemes subject to business cases.</w:t>
      </w:r>
    </w:p>
    <w:p w14:paraId="1AA622C3" w14:textId="77777777" w:rsidR="00861BFD" w:rsidRPr="00EB458E" w:rsidRDefault="00861BFD" w:rsidP="00861BFD">
      <w:pPr>
        <w:pStyle w:val="ListParagraph"/>
        <w:tabs>
          <w:tab w:val="left" w:pos="567"/>
        </w:tabs>
        <w:ind w:left="1211"/>
        <w:jc w:val="both"/>
        <w:rPr>
          <w:szCs w:val="24"/>
        </w:rPr>
      </w:pPr>
    </w:p>
    <w:p w14:paraId="5394F500" w14:textId="50DD43B2" w:rsidR="003C7F2F" w:rsidRPr="00EB458E" w:rsidRDefault="00861BFD" w:rsidP="00861BFD">
      <w:pPr>
        <w:pStyle w:val="ListParagraph"/>
        <w:numPr>
          <w:ilvl w:val="0"/>
          <w:numId w:val="2"/>
        </w:numPr>
        <w:ind w:left="567" w:hanging="567"/>
        <w:jc w:val="both"/>
        <w:rPr>
          <w:rFonts w:cs="Arial"/>
          <w:b/>
          <w:szCs w:val="24"/>
          <w:u w:val="single"/>
          <w:lang w:val="en-US"/>
        </w:rPr>
      </w:pPr>
      <w:r w:rsidRPr="00EB458E">
        <w:rPr>
          <w:rFonts w:cs="Arial"/>
          <w:bCs/>
          <w:szCs w:val="24"/>
        </w:rPr>
        <w:t>There are no revenue implications as a result of this slippage.</w:t>
      </w:r>
    </w:p>
    <w:p w14:paraId="505B1263" w14:textId="77777777" w:rsidR="00861BFD" w:rsidRPr="00EB458E" w:rsidRDefault="00861BFD" w:rsidP="00861BFD">
      <w:pPr>
        <w:pStyle w:val="ListParagraph"/>
        <w:ind w:left="567"/>
        <w:jc w:val="both"/>
        <w:rPr>
          <w:rFonts w:cs="Arial"/>
          <w:b/>
          <w:szCs w:val="24"/>
          <w:u w:val="single"/>
          <w:lang w:val="en-US"/>
        </w:rPr>
      </w:pPr>
    </w:p>
    <w:p w14:paraId="74B75AF2" w14:textId="2B8F004F" w:rsidR="00B329CE" w:rsidRPr="00AD560E" w:rsidRDefault="002543B8" w:rsidP="003634DA">
      <w:pPr>
        <w:ind w:firstLine="567"/>
        <w:jc w:val="both"/>
        <w:rPr>
          <w:rFonts w:cs="Arial"/>
          <w:b/>
          <w:szCs w:val="24"/>
          <w:u w:val="single"/>
          <w:lang w:val="en-US"/>
        </w:rPr>
      </w:pPr>
      <w:r w:rsidRPr="00AD560E">
        <w:rPr>
          <w:rFonts w:cs="Arial"/>
          <w:b/>
          <w:szCs w:val="24"/>
          <w:u w:val="single"/>
          <w:lang w:val="en-US"/>
        </w:rPr>
        <w:t>PLACE</w:t>
      </w:r>
    </w:p>
    <w:p w14:paraId="371908BB" w14:textId="3A5A0348" w:rsidR="000C14C0" w:rsidRPr="00AD560E" w:rsidRDefault="000C14C0" w:rsidP="000C14C0">
      <w:pPr>
        <w:pStyle w:val="ListParagraph"/>
        <w:tabs>
          <w:tab w:val="left" w:pos="567"/>
        </w:tabs>
        <w:ind w:left="567"/>
        <w:jc w:val="both"/>
        <w:rPr>
          <w:szCs w:val="24"/>
        </w:rPr>
      </w:pPr>
    </w:p>
    <w:p w14:paraId="2419CA40" w14:textId="6384BEA4" w:rsidR="005A0F94" w:rsidRPr="00AD560E" w:rsidRDefault="007464E7" w:rsidP="00070C86">
      <w:pPr>
        <w:pStyle w:val="ListParagraph"/>
        <w:numPr>
          <w:ilvl w:val="0"/>
          <w:numId w:val="2"/>
        </w:numPr>
        <w:tabs>
          <w:tab w:val="left" w:pos="567"/>
        </w:tabs>
        <w:ind w:left="567" w:right="140" w:hanging="567"/>
        <w:contextualSpacing/>
        <w:jc w:val="both"/>
        <w:rPr>
          <w:rFonts w:cs="Arial"/>
          <w:bCs/>
          <w:szCs w:val="24"/>
        </w:rPr>
      </w:pPr>
      <w:r w:rsidRPr="00AD560E">
        <w:rPr>
          <w:rFonts w:cs="Arial"/>
          <w:bCs/>
          <w:szCs w:val="24"/>
        </w:rPr>
        <w:t xml:space="preserve">As at </w:t>
      </w:r>
      <w:r w:rsidR="00350DF4" w:rsidRPr="00AD560E">
        <w:rPr>
          <w:rFonts w:cs="Arial"/>
          <w:bCs/>
          <w:szCs w:val="24"/>
        </w:rPr>
        <w:t>the end of the financial year the final</w:t>
      </w:r>
      <w:r w:rsidRPr="00AD560E">
        <w:rPr>
          <w:rFonts w:cs="Arial"/>
          <w:bCs/>
          <w:szCs w:val="24"/>
        </w:rPr>
        <w:t xml:space="preserve"> spend is £</w:t>
      </w:r>
      <w:r w:rsidR="00350DF4" w:rsidRPr="00AD560E">
        <w:rPr>
          <w:rFonts w:cs="Arial"/>
          <w:bCs/>
          <w:szCs w:val="24"/>
        </w:rPr>
        <w:t>18.483</w:t>
      </w:r>
      <w:r w:rsidR="00596996" w:rsidRPr="00AD560E">
        <w:rPr>
          <w:rFonts w:cs="Arial"/>
          <w:bCs/>
          <w:szCs w:val="24"/>
        </w:rPr>
        <w:t>m</w:t>
      </w:r>
      <w:r w:rsidRPr="00AD560E">
        <w:rPr>
          <w:rFonts w:cs="Arial"/>
          <w:bCs/>
          <w:szCs w:val="24"/>
        </w:rPr>
        <w:t xml:space="preserve"> which represents </w:t>
      </w:r>
      <w:r w:rsidR="00350DF4" w:rsidRPr="00AD560E">
        <w:rPr>
          <w:rFonts w:cs="Arial"/>
          <w:bCs/>
          <w:szCs w:val="24"/>
        </w:rPr>
        <w:t>30</w:t>
      </w:r>
      <w:r w:rsidRPr="00AD560E">
        <w:rPr>
          <w:rFonts w:cs="Arial"/>
          <w:bCs/>
          <w:szCs w:val="24"/>
        </w:rPr>
        <w:t xml:space="preserve">% of the capital budget. </w:t>
      </w:r>
      <w:r w:rsidR="002000B9" w:rsidRPr="00AD560E">
        <w:rPr>
          <w:bCs/>
          <w:szCs w:val="24"/>
        </w:rPr>
        <w:t xml:space="preserve">Of the variance to budget of </w:t>
      </w:r>
      <w:r w:rsidRPr="00AD560E">
        <w:rPr>
          <w:bCs/>
          <w:szCs w:val="24"/>
        </w:rPr>
        <w:t>£</w:t>
      </w:r>
      <w:r w:rsidR="00350DF4" w:rsidRPr="00AD560E">
        <w:rPr>
          <w:bCs/>
          <w:szCs w:val="24"/>
        </w:rPr>
        <w:t>43.781</w:t>
      </w:r>
      <w:r w:rsidR="00596996" w:rsidRPr="00AD560E">
        <w:rPr>
          <w:bCs/>
          <w:szCs w:val="24"/>
        </w:rPr>
        <w:t>m</w:t>
      </w:r>
      <w:r w:rsidR="002000B9" w:rsidRPr="00AD560E">
        <w:rPr>
          <w:bCs/>
          <w:szCs w:val="24"/>
        </w:rPr>
        <w:t>, a total of £</w:t>
      </w:r>
      <w:r w:rsidR="00AD560E" w:rsidRPr="00AD560E">
        <w:rPr>
          <w:bCs/>
          <w:szCs w:val="24"/>
        </w:rPr>
        <w:t>40.307</w:t>
      </w:r>
      <w:r w:rsidR="00596996" w:rsidRPr="00AD560E">
        <w:rPr>
          <w:bCs/>
          <w:szCs w:val="24"/>
        </w:rPr>
        <w:t>m</w:t>
      </w:r>
      <w:r w:rsidR="002000B9" w:rsidRPr="00AD560E">
        <w:rPr>
          <w:bCs/>
          <w:szCs w:val="24"/>
        </w:rPr>
        <w:t xml:space="preserve"> of funding will be slipped to </w:t>
      </w:r>
      <w:r w:rsidRPr="00AD560E">
        <w:rPr>
          <w:bCs/>
          <w:szCs w:val="24"/>
        </w:rPr>
        <w:t>2023-24</w:t>
      </w:r>
      <w:r w:rsidR="00AD560E" w:rsidRPr="00AD560E">
        <w:rPr>
          <w:bCs/>
          <w:szCs w:val="24"/>
        </w:rPr>
        <w:t xml:space="preserve"> to complete ongoing projects</w:t>
      </w:r>
      <w:r w:rsidRPr="00AD560E">
        <w:rPr>
          <w:bCs/>
          <w:szCs w:val="24"/>
        </w:rPr>
        <w:t>.</w:t>
      </w:r>
      <w:r w:rsidR="002000B9" w:rsidRPr="00AD560E">
        <w:rPr>
          <w:bCs/>
          <w:szCs w:val="24"/>
        </w:rPr>
        <w:t xml:space="preserve"> The underspend of £</w:t>
      </w:r>
      <w:r w:rsidR="00AD560E" w:rsidRPr="00AD560E">
        <w:rPr>
          <w:bCs/>
          <w:szCs w:val="24"/>
        </w:rPr>
        <w:t>3.475m results from project underspends of £1.510m, NCIL funded projects withdrawn £195k and externally funded projects of £1.769m reclassified as revenue</w:t>
      </w:r>
      <w:r w:rsidRPr="00AD560E">
        <w:rPr>
          <w:bCs/>
          <w:szCs w:val="24"/>
        </w:rPr>
        <w:t>.</w:t>
      </w:r>
    </w:p>
    <w:p w14:paraId="59D8AAA8" w14:textId="77777777" w:rsidR="005A0F94" w:rsidRPr="00AD560E" w:rsidRDefault="005A0F94" w:rsidP="005A0F94">
      <w:pPr>
        <w:pStyle w:val="ListParagraph"/>
        <w:tabs>
          <w:tab w:val="left" w:pos="567"/>
        </w:tabs>
        <w:ind w:left="567" w:right="140"/>
        <w:contextualSpacing/>
        <w:jc w:val="both"/>
        <w:rPr>
          <w:rFonts w:cs="Arial"/>
          <w:bCs/>
          <w:szCs w:val="24"/>
        </w:rPr>
      </w:pPr>
    </w:p>
    <w:p w14:paraId="72962F49" w14:textId="5C527ABC" w:rsidR="005A0F94" w:rsidRPr="00AD560E" w:rsidRDefault="005A0F94" w:rsidP="005A0F94">
      <w:pPr>
        <w:pStyle w:val="ListParagraph"/>
        <w:tabs>
          <w:tab w:val="left" w:pos="567"/>
        </w:tabs>
        <w:ind w:left="567" w:right="140"/>
        <w:contextualSpacing/>
        <w:jc w:val="both"/>
        <w:rPr>
          <w:rFonts w:cs="Arial"/>
          <w:b/>
          <w:szCs w:val="24"/>
        </w:rPr>
      </w:pPr>
      <w:r w:rsidRPr="00AD560E">
        <w:rPr>
          <w:rFonts w:cs="Arial"/>
          <w:b/>
          <w:szCs w:val="24"/>
        </w:rPr>
        <w:t>Environment</w:t>
      </w:r>
    </w:p>
    <w:p w14:paraId="06A0FBEF" w14:textId="77777777" w:rsidR="005A0F94" w:rsidRPr="00AD560E" w:rsidRDefault="005A0F94" w:rsidP="005A0F94">
      <w:pPr>
        <w:pStyle w:val="ListParagraph"/>
        <w:rPr>
          <w:rFonts w:cs="Arial"/>
          <w:bCs/>
          <w:szCs w:val="24"/>
        </w:rPr>
      </w:pPr>
    </w:p>
    <w:p w14:paraId="24B58DF3" w14:textId="18B7AC5B" w:rsidR="005A0F94" w:rsidRPr="00AD560E" w:rsidRDefault="005A0F94" w:rsidP="005A0F94">
      <w:pPr>
        <w:pStyle w:val="ListParagraph"/>
        <w:numPr>
          <w:ilvl w:val="0"/>
          <w:numId w:val="2"/>
        </w:numPr>
        <w:tabs>
          <w:tab w:val="left" w:pos="567"/>
        </w:tabs>
        <w:ind w:left="567" w:right="140" w:hanging="567"/>
        <w:contextualSpacing/>
        <w:jc w:val="both"/>
        <w:rPr>
          <w:rFonts w:cs="Arial"/>
          <w:bCs/>
          <w:szCs w:val="24"/>
        </w:rPr>
      </w:pPr>
      <w:r w:rsidRPr="00AD560E">
        <w:rPr>
          <w:rFonts w:cs="Arial"/>
          <w:bCs/>
          <w:szCs w:val="24"/>
        </w:rPr>
        <w:t xml:space="preserve">The </w:t>
      </w:r>
      <w:r w:rsidR="00AD560E" w:rsidRPr="00AD560E">
        <w:rPr>
          <w:rFonts w:cs="Arial"/>
          <w:bCs/>
          <w:szCs w:val="24"/>
        </w:rPr>
        <w:t>final</w:t>
      </w:r>
      <w:r w:rsidRPr="00AD560E">
        <w:rPr>
          <w:rFonts w:cs="Arial"/>
          <w:bCs/>
          <w:szCs w:val="24"/>
        </w:rPr>
        <w:t xml:space="preserve"> spend</w:t>
      </w:r>
      <w:r w:rsidR="00AD560E" w:rsidRPr="00AD560E">
        <w:rPr>
          <w:rFonts w:cs="Arial"/>
          <w:bCs/>
          <w:szCs w:val="24"/>
        </w:rPr>
        <w:t xml:space="preserve"> is</w:t>
      </w:r>
      <w:r w:rsidRPr="00AD560E">
        <w:rPr>
          <w:rFonts w:cs="Arial"/>
          <w:bCs/>
          <w:szCs w:val="24"/>
        </w:rPr>
        <w:t xml:space="preserve"> £</w:t>
      </w:r>
      <w:r w:rsidR="00AD560E" w:rsidRPr="00AD560E">
        <w:rPr>
          <w:rFonts w:cs="Arial"/>
          <w:bCs/>
          <w:szCs w:val="24"/>
        </w:rPr>
        <w:t>7.710</w:t>
      </w:r>
      <w:r w:rsidR="00596996" w:rsidRPr="00AD560E">
        <w:rPr>
          <w:rFonts w:cs="Arial"/>
          <w:bCs/>
          <w:szCs w:val="24"/>
        </w:rPr>
        <w:t>m</w:t>
      </w:r>
      <w:r w:rsidRPr="00AD560E">
        <w:rPr>
          <w:rFonts w:cs="Arial"/>
          <w:bCs/>
          <w:szCs w:val="24"/>
        </w:rPr>
        <w:t xml:space="preserve"> against a budget of £</w:t>
      </w:r>
      <w:r w:rsidR="00596996" w:rsidRPr="00AD560E">
        <w:rPr>
          <w:rFonts w:cs="Arial"/>
          <w:bCs/>
          <w:szCs w:val="24"/>
        </w:rPr>
        <w:t>27.738m</w:t>
      </w:r>
      <w:r w:rsidRPr="00AD560E">
        <w:rPr>
          <w:rFonts w:cs="Arial"/>
          <w:bCs/>
          <w:szCs w:val="24"/>
        </w:rPr>
        <w:t>. £</w:t>
      </w:r>
      <w:r w:rsidR="00596996" w:rsidRPr="00AD560E">
        <w:rPr>
          <w:rFonts w:cs="Arial"/>
          <w:bCs/>
          <w:szCs w:val="24"/>
        </w:rPr>
        <w:t>1</w:t>
      </w:r>
      <w:r w:rsidR="00AD560E" w:rsidRPr="00AD560E">
        <w:rPr>
          <w:rFonts w:cs="Arial"/>
          <w:bCs/>
          <w:szCs w:val="24"/>
        </w:rPr>
        <w:t>8.624</w:t>
      </w:r>
      <w:r w:rsidR="00596996" w:rsidRPr="00AD560E">
        <w:rPr>
          <w:rFonts w:cs="Arial"/>
          <w:bCs/>
          <w:szCs w:val="24"/>
        </w:rPr>
        <w:t>m</w:t>
      </w:r>
      <w:r w:rsidRPr="00AD560E">
        <w:rPr>
          <w:rFonts w:cs="Arial"/>
          <w:bCs/>
          <w:szCs w:val="24"/>
        </w:rPr>
        <w:t xml:space="preserve"> </w:t>
      </w:r>
      <w:r w:rsidR="00AD560E" w:rsidRPr="00AD560E">
        <w:rPr>
          <w:rFonts w:cs="Arial"/>
          <w:bCs/>
          <w:szCs w:val="24"/>
        </w:rPr>
        <w:t xml:space="preserve">of funding will be </w:t>
      </w:r>
      <w:r w:rsidRPr="00AD560E">
        <w:rPr>
          <w:rFonts w:cs="Arial"/>
          <w:bCs/>
          <w:szCs w:val="24"/>
        </w:rPr>
        <w:t>slipped to 2023-24</w:t>
      </w:r>
      <w:r w:rsidR="00AD560E" w:rsidRPr="00AD560E">
        <w:rPr>
          <w:rFonts w:cs="Arial"/>
          <w:bCs/>
          <w:szCs w:val="24"/>
        </w:rPr>
        <w:t xml:space="preserve"> related to projects listed below</w:t>
      </w:r>
      <w:r w:rsidRPr="00AD560E">
        <w:rPr>
          <w:rFonts w:cs="Arial"/>
          <w:bCs/>
          <w:szCs w:val="24"/>
        </w:rPr>
        <w:t>.</w:t>
      </w:r>
      <w:r w:rsidR="00AD560E" w:rsidRPr="00AD560E">
        <w:rPr>
          <w:rFonts w:cs="Arial"/>
          <w:bCs/>
          <w:szCs w:val="24"/>
        </w:rPr>
        <w:t xml:space="preserve"> The underspend of £1.391m represents TfL funded projects assumed in the capital programme, but LIP funding was confirmed late in 2022-23 and the scope of works meant that the spend was reclassified as revenue expenditure. The other underspends of £13k relate to historical projects where there is no outstanding work.</w:t>
      </w:r>
      <w:r w:rsidRPr="00AD560E">
        <w:rPr>
          <w:rFonts w:cs="Arial"/>
          <w:bCs/>
          <w:szCs w:val="24"/>
        </w:rPr>
        <w:t xml:space="preserve"> </w:t>
      </w:r>
    </w:p>
    <w:p w14:paraId="594F499B" w14:textId="77777777" w:rsidR="005A0F94" w:rsidRPr="00AD560E" w:rsidRDefault="005A0F94" w:rsidP="005A0F94">
      <w:pPr>
        <w:pStyle w:val="ListParagraph"/>
        <w:tabs>
          <w:tab w:val="left" w:pos="567"/>
        </w:tabs>
        <w:ind w:left="1440" w:right="140"/>
        <w:contextualSpacing/>
        <w:jc w:val="both"/>
        <w:rPr>
          <w:rFonts w:cs="Arial"/>
          <w:bCs/>
          <w:szCs w:val="24"/>
        </w:rPr>
      </w:pPr>
    </w:p>
    <w:p w14:paraId="35BC4002" w14:textId="2D94EEE3" w:rsidR="00AD560E" w:rsidRPr="00AD560E" w:rsidRDefault="00AD560E" w:rsidP="001B1846">
      <w:pPr>
        <w:pStyle w:val="ListParagraph"/>
        <w:numPr>
          <w:ilvl w:val="1"/>
          <w:numId w:val="2"/>
        </w:numPr>
        <w:tabs>
          <w:tab w:val="left" w:pos="1134"/>
        </w:tabs>
        <w:ind w:left="1134" w:right="140" w:hanging="567"/>
        <w:contextualSpacing/>
        <w:jc w:val="both"/>
        <w:rPr>
          <w:rFonts w:cs="Arial"/>
          <w:bCs/>
          <w:szCs w:val="24"/>
        </w:rPr>
      </w:pPr>
      <w:r w:rsidRPr="00AD560E">
        <w:rPr>
          <w:rFonts w:cs="Arial"/>
          <w:b/>
          <w:szCs w:val="24"/>
        </w:rPr>
        <w:t>CA Site infrastructure</w:t>
      </w:r>
      <w:r w:rsidRPr="00AD560E">
        <w:rPr>
          <w:rFonts w:cs="Arial"/>
          <w:bCs/>
          <w:szCs w:val="24"/>
        </w:rPr>
        <w:t xml:space="preserve"> - £153k slippage. The funding is set aside for a number of </w:t>
      </w:r>
      <w:proofErr w:type="gramStart"/>
      <w:r w:rsidRPr="00AD560E">
        <w:rPr>
          <w:rFonts w:cs="Arial"/>
          <w:bCs/>
          <w:szCs w:val="24"/>
        </w:rPr>
        <w:t>improvement</w:t>
      </w:r>
      <w:proofErr w:type="gramEnd"/>
      <w:r w:rsidRPr="00AD560E">
        <w:rPr>
          <w:rFonts w:cs="Arial"/>
          <w:bCs/>
          <w:szCs w:val="24"/>
        </w:rPr>
        <w:t xml:space="preserve"> works at the CA site to be delivered in 2023-24</w:t>
      </w:r>
    </w:p>
    <w:p w14:paraId="459D46F7" w14:textId="77777777" w:rsidR="00AD560E" w:rsidRPr="00AD560E" w:rsidRDefault="00AD560E" w:rsidP="00AD560E">
      <w:pPr>
        <w:pStyle w:val="ListParagraph"/>
        <w:tabs>
          <w:tab w:val="left" w:pos="1134"/>
        </w:tabs>
        <w:ind w:left="1134" w:right="140"/>
        <w:contextualSpacing/>
        <w:jc w:val="both"/>
        <w:rPr>
          <w:rFonts w:cs="Arial"/>
          <w:bCs/>
          <w:color w:val="FF0000"/>
          <w:szCs w:val="24"/>
        </w:rPr>
      </w:pPr>
    </w:p>
    <w:p w14:paraId="608C91A0" w14:textId="3FF2858D" w:rsidR="00AD560E" w:rsidRDefault="00AD560E" w:rsidP="001B1846">
      <w:pPr>
        <w:pStyle w:val="ListParagraph"/>
        <w:numPr>
          <w:ilvl w:val="1"/>
          <w:numId w:val="2"/>
        </w:numPr>
        <w:tabs>
          <w:tab w:val="left" w:pos="1134"/>
        </w:tabs>
        <w:ind w:left="1134" w:right="140" w:hanging="567"/>
        <w:contextualSpacing/>
        <w:jc w:val="both"/>
        <w:rPr>
          <w:rFonts w:cs="Arial"/>
          <w:bCs/>
          <w:szCs w:val="24"/>
        </w:rPr>
      </w:pPr>
      <w:r w:rsidRPr="00AD560E">
        <w:rPr>
          <w:rFonts w:cs="Arial"/>
          <w:b/>
          <w:szCs w:val="24"/>
        </w:rPr>
        <w:t>Depot Redevelopment</w:t>
      </w:r>
      <w:r w:rsidRPr="00AD560E">
        <w:rPr>
          <w:rFonts w:cs="Arial"/>
          <w:bCs/>
          <w:szCs w:val="24"/>
        </w:rPr>
        <w:t xml:space="preserve"> - £2.322m slippage. The redevelopment project is largely complete, with outstanding works in external areas to be completed in 2023-24. Options will be reviewed once the design for entrances to the site is completed. There are also some snagging works following the construction of the main building which will need to be resolved in 2023-24.</w:t>
      </w:r>
    </w:p>
    <w:p w14:paraId="7D0B9895" w14:textId="77777777" w:rsidR="00AD560E" w:rsidRPr="00AD560E" w:rsidRDefault="00AD560E" w:rsidP="00AD560E">
      <w:pPr>
        <w:pStyle w:val="ListParagraph"/>
        <w:rPr>
          <w:rFonts w:cs="Arial"/>
          <w:bCs/>
          <w:szCs w:val="24"/>
        </w:rPr>
      </w:pPr>
    </w:p>
    <w:p w14:paraId="55FA43E5" w14:textId="72644698" w:rsidR="00AD560E" w:rsidRPr="002A39DE" w:rsidRDefault="00AD560E" w:rsidP="001B1846">
      <w:pPr>
        <w:pStyle w:val="ListParagraph"/>
        <w:numPr>
          <w:ilvl w:val="1"/>
          <w:numId w:val="2"/>
        </w:numPr>
        <w:tabs>
          <w:tab w:val="left" w:pos="1134"/>
        </w:tabs>
        <w:ind w:left="1134" w:right="140" w:hanging="567"/>
        <w:contextualSpacing/>
        <w:jc w:val="both"/>
        <w:rPr>
          <w:rFonts w:cs="Arial"/>
          <w:bCs/>
          <w:szCs w:val="24"/>
        </w:rPr>
      </w:pPr>
      <w:r w:rsidRPr="00AD560E">
        <w:rPr>
          <w:rFonts w:cs="Arial"/>
          <w:b/>
          <w:szCs w:val="24"/>
        </w:rPr>
        <w:t>Flood Defence and Highways Drainage</w:t>
      </w:r>
      <w:r>
        <w:rPr>
          <w:rFonts w:cs="Arial"/>
          <w:bCs/>
          <w:szCs w:val="24"/>
        </w:rPr>
        <w:t xml:space="preserve"> - £144k slippage. Some of the works were on hold due to the delay in the approval of partnership funding </w:t>
      </w:r>
      <w:r>
        <w:rPr>
          <w:rFonts w:cs="Arial"/>
          <w:bCs/>
          <w:szCs w:val="24"/>
        </w:rPr>
        <w:lastRenderedPageBreak/>
        <w:t xml:space="preserve">from the Environment Agency. The remaining budget will be committed in </w:t>
      </w:r>
      <w:r w:rsidRPr="002A39DE">
        <w:rPr>
          <w:rFonts w:cs="Arial"/>
          <w:bCs/>
          <w:szCs w:val="24"/>
        </w:rPr>
        <w:t>2023-24 as the project is no ready for construction delivery phase.</w:t>
      </w:r>
    </w:p>
    <w:p w14:paraId="0BBB9CFE" w14:textId="77777777" w:rsidR="00AD560E" w:rsidRPr="002A39DE" w:rsidRDefault="00AD560E" w:rsidP="00AD560E">
      <w:pPr>
        <w:pStyle w:val="ListParagraph"/>
        <w:rPr>
          <w:rFonts w:cs="Arial"/>
          <w:b/>
          <w:bCs/>
          <w:szCs w:val="24"/>
        </w:rPr>
      </w:pPr>
    </w:p>
    <w:p w14:paraId="0E47B9FB" w14:textId="39F6C908" w:rsidR="005A0F94" w:rsidRPr="002A39DE" w:rsidRDefault="005A0F94" w:rsidP="001B1846">
      <w:pPr>
        <w:pStyle w:val="ListParagraph"/>
        <w:numPr>
          <w:ilvl w:val="1"/>
          <w:numId w:val="2"/>
        </w:numPr>
        <w:tabs>
          <w:tab w:val="left" w:pos="1134"/>
        </w:tabs>
        <w:ind w:left="1134" w:right="140" w:hanging="567"/>
        <w:contextualSpacing/>
        <w:jc w:val="both"/>
        <w:rPr>
          <w:rFonts w:cs="Arial"/>
          <w:bCs/>
          <w:szCs w:val="24"/>
        </w:rPr>
      </w:pPr>
      <w:r w:rsidRPr="002A39DE">
        <w:rPr>
          <w:rFonts w:cs="Arial"/>
          <w:b/>
          <w:bCs/>
          <w:szCs w:val="24"/>
        </w:rPr>
        <w:t>Highway Programme</w:t>
      </w:r>
      <w:r w:rsidRPr="002A39DE">
        <w:rPr>
          <w:rFonts w:cs="Arial"/>
          <w:szCs w:val="24"/>
        </w:rPr>
        <w:t xml:space="preserve"> </w:t>
      </w:r>
      <w:r w:rsidR="00930F7A" w:rsidRPr="002A39DE">
        <w:rPr>
          <w:rFonts w:cs="Arial"/>
          <w:szCs w:val="24"/>
        </w:rPr>
        <w:t>- £</w:t>
      </w:r>
      <w:r w:rsidR="00596996" w:rsidRPr="002A39DE">
        <w:rPr>
          <w:rFonts w:cs="Arial"/>
          <w:szCs w:val="24"/>
        </w:rPr>
        <w:t>6.</w:t>
      </w:r>
      <w:r w:rsidR="00AD560E" w:rsidRPr="002A39DE">
        <w:rPr>
          <w:rFonts w:cs="Arial"/>
          <w:szCs w:val="24"/>
        </w:rPr>
        <w:t>452</w:t>
      </w:r>
      <w:r w:rsidR="00596996" w:rsidRPr="002A39DE">
        <w:rPr>
          <w:rFonts w:cs="Arial"/>
          <w:szCs w:val="24"/>
        </w:rPr>
        <w:t>m</w:t>
      </w:r>
      <w:r w:rsidR="00516573" w:rsidRPr="002A39DE">
        <w:rPr>
          <w:rFonts w:cs="Arial"/>
          <w:szCs w:val="24"/>
        </w:rPr>
        <w:t xml:space="preserve"> </w:t>
      </w:r>
      <w:r w:rsidRPr="002A39DE">
        <w:rPr>
          <w:rFonts w:cs="Arial"/>
          <w:szCs w:val="24"/>
        </w:rPr>
        <w:t>slippage</w:t>
      </w:r>
      <w:r w:rsidR="00516573" w:rsidRPr="002A39DE">
        <w:rPr>
          <w:rFonts w:cs="Arial"/>
          <w:szCs w:val="24"/>
        </w:rPr>
        <w:t xml:space="preserve"> and </w:t>
      </w:r>
      <w:r w:rsidR="00516573" w:rsidRPr="002A39DE">
        <w:rPr>
          <w:rFonts w:cs="Arial"/>
          <w:b/>
          <w:bCs/>
          <w:szCs w:val="24"/>
        </w:rPr>
        <w:t>Street Lighting</w:t>
      </w:r>
      <w:r w:rsidR="00516573" w:rsidRPr="002A39DE">
        <w:rPr>
          <w:rFonts w:cs="Arial"/>
          <w:szCs w:val="24"/>
        </w:rPr>
        <w:t xml:space="preserve"> - £1.</w:t>
      </w:r>
      <w:r w:rsidR="002A39DE" w:rsidRPr="002A39DE">
        <w:rPr>
          <w:rFonts w:cs="Arial"/>
          <w:szCs w:val="24"/>
        </w:rPr>
        <w:t>464</w:t>
      </w:r>
      <w:r w:rsidR="00516573" w:rsidRPr="002A39DE">
        <w:rPr>
          <w:rFonts w:cs="Arial"/>
          <w:szCs w:val="24"/>
        </w:rPr>
        <w:t>m slippage</w:t>
      </w:r>
      <w:r w:rsidRPr="002A39DE">
        <w:rPr>
          <w:rFonts w:cs="Arial"/>
          <w:szCs w:val="24"/>
        </w:rPr>
        <w:t xml:space="preserve">. </w:t>
      </w:r>
      <w:r w:rsidR="002A39DE" w:rsidRPr="002A39DE">
        <w:rPr>
          <w:rFonts w:cs="Arial"/>
          <w:szCs w:val="24"/>
        </w:rPr>
        <w:t>Capital funding was released late in 2022-23 due to the review of the Highway Investment Strategy. The Strategy has now been approved by Cabinet and work orders are placed to deliver the prioritised schemes.</w:t>
      </w:r>
    </w:p>
    <w:p w14:paraId="2FF58C6A" w14:textId="77777777" w:rsidR="002A39DE" w:rsidRPr="002A39DE" w:rsidRDefault="002A39DE" w:rsidP="002A39DE">
      <w:pPr>
        <w:pStyle w:val="ListParagraph"/>
        <w:rPr>
          <w:rFonts w:cs="Arial"/>
          <w:bCs/>
          <w:szCs w:val="24"/>
        </w:rPr>
      </w:pPr>
    </w:p>
    <w:p w14:paraId="4B8B096E" w14:textId="068022A5" w:rsidR="002A39DE" w:rsidRPr="002A39DE" w:rsidRDefault="002A39DE" w:rsidP="001B1846">
      <w:pPr>
        <w:pStyle w:val="ListParagraph"/>
        <w:numPr>
          <w:ilvl w:val="1"/>
          <w:numId w:val="2"/>
        </w:numPr>
        <w:tabs>
          <w:tab w:val="left" w:pos="1134"/>
        </w:tabs>
        <w:ind w:left="1134" w:right="140" w:hanging="567"/>
        <w:contextualSpacing/>
        <w:jc w:val="both"/>
        <w:rPr>
          <w:rFonts w:cs="Arial"/>
          <w:bCs/>
          <w:szCs w:val="24"/>
        </w:rPr>
      </w:pPr>
      <w:r w:rsidRPr="002A39DE">
        <w:rPr>
          <w:rFonts w:cs="Arial"/>
          <w:b/>
          <w:szCs w:val="24"/>
        </w:rPr>
        <w:t>Parking Management Programme</w:t>
      </w:r>
      <w:r>
        <w:rPr>
          <w:rFonts w:cs="Arial"/>
          <w:bCs/>
          <w:szCs w:val="24"/>
        </w:rPr>
        <w:t xml:space="preserve"> - £127k slippage. Some of the schemes were delayed but works are continuing into 2023-24 and the proposed measures will</w:t>
      </w:r>
      <w:r w:rsidR="00E42991">
        <w:rPr>
          <w:rFonts w:cs="Arial"/>
          <w:bCs/>
          <w:szCs w:val="24"/>
        </w:rPr>
        <w:t xml:space="preserve"> </w:t>
      </w:r>
      <w:r>
        <w:rPr>
          <w:rFonts w:cs="Arial"/>
          <w:bCs/>
          <w:szCs w:val="24"/>
        </w:rPr>
        <w:t>be implemented subject to the outcome of relevant consultations.</w:t>
      </w:r>
    </w:p>
    <w:p w14:paraId="7ABA9EFB" w14:textId="2670FC01" w:rsidR="005A0F94" w:rsidRPr="0053585A" w:rsidRDefault="005A0F94" w:rsidP="001B1846">
      <w:pPr>
        <w:pStyle w:val="ListParagraph"/>
        <w:tabs>
          <w:tab w:val="left" w:pos="1134"/>
        </w:tabs>
        <w:ind w:left="1134" w:hanging="567"/>
        <w:rPr>
          <w:rFonts w:cs="Arial"/>
          <w:b/>
          <w:bCs/>
          <w:szCs w:val="24"/>
        </w:rPr>
      </w:pPr>
    </w:p>
    <w:p w14:paraId="63680DF9" w14:textId="436FC21E" w:rsidR="005A0F94" w:rsidRPr="0053585A" w:rsidRDefault="005A0F94" w:rsidP="001B1846">
      <w:pPr>
        <w:pStyle w:val="ListParagraph"/>
        <w:numPr>
          <w:ilvl w:val="1"/>
          <w:numId w:val="2"/>
        </w:numPr>
        <w:tabs>
          <w:tab w:val="left" w:pos="1134"/>
        </w:tabs>
        <w:ind w:left="1134" w:right="140" w:hanging="567"/>
        <w:contextualSpacing/>
        <w:jc w:val="both"/>
        <w:rPr>
          <w:rFonts w:cs="Arial"/>
          <w:bCs/>
          <w:szCs w:val="24"/>
        </w:rPr>
      </w:pPr>
      <w:r w:rsidRPr="0053585A">
        <w:rPr>
          <w:rFonts w:cs="Arial"/>
          <w:b/>
          <w:bCs/>
          <w:szCs w:val="24"/>
        </w:rPr>
        <w:t>Wealdstone Future High Street Fund</w:t>
      </w:r>
      <w:r w:rsidRPr="0053585A">
        <w:rPr>
          <w:rFonts w:cs="Arial"/>
          <w:szCs w:val="24"/>
        </w:rPr>
        <w:t xml:space="preserve"> – £5.</w:t>
      </w:r>
      <w:r w:rsidR="00596996" w:rsidRPr="0053585A">
        <w:rPr>
          <w:rFonts w:cs="Arial"/>
          <w:szCs w:val="24"/>
        </w:rPr>
        <w:t>7</w:t>
      </w:r>
      <w:r w:rsidR="0053585A" w:rsidRPr="0053585A">
        <w:rPr>
          <w:rFonts w:cs="Arial"/>
          <w:szCs w:val="24"/>
        </w:rPr>
        <w:t>3</w:t>
      </w:r>
      <w:r w:rsidR="00596996" w:rsidRPr="0053585A">
        <w:rPr>
          <w:rFonts w:cs="Arial"/>
          <w:szCs w:val="24"/>
        </w:rPr>
        <w:t>6</w:t>
      </w:r>
      <w:r w:rsidRPr="0053585A">
        <w:rPr>
          <w:rFonts w:cs="Arial"/>
          <w:szCs w:val="24"/>
        </w:rPr>
        <w:t xml:space="preserve">m </w:t>
      </w:r>
      <w:r w:rsidR="00516573" w:rsidRPr="0053585A">
        <w:rPr>
          <w:rFonts w:cs="Arial"/>
          <w:szCs w:val="24"/>
        </w:rPr>
        <w:t>slippage</w:t>
      </w:r>
      <w:r w:rsidRPr="0053585A">
        <w:rPr>
          <w:rFonts w:cs="Arial"/>
          <w:szCs w:val="24"/>
        </w:rPr>
        <w:t xml:space="preserve">. </w:t>
      </w:r>
      <w:r w:rsidR="0053585A" w:rsidRPr="0053585A">
        <w:rPr>
          <w:szCs w:val="24"/>
        </w:rPr>
        <w:t>This is a multiple year projects, funded by DLUHC and BCIL funding, originally for the construction of a footbridge and implementing Intelligent High Street. A Project Adjustment Form has been submitted to DLUCH to seek approval to deliver alternative projects. The budget will be slipped to 2023-24 whilst awaiting approval.</w:t>
      </w:r>
    </w:p>
    <w:p w14:paraId="1C66658A" w14:textId="77777777" w:rsidR="00596996" w:rsidRPr="006160A2" w:rsidRDefault="00596996" w:rsidP="00596996">
      <w:pPr>
        <w:pStyle w:val="ListParagraph"/>
        <w:rPr>
          <w:rFonts w:cs="Arial"/>
          <w:bCs/>
          <w:color w:val="FF0000"/>
          <w:szCs w:val="24"/>
        </w:rPr>
      </w:pPr>
    </w:p>
    <w:p w14:paraId="58CF1BB2" w14:textId="16C64EFD" w:rsidR="00596996" w:rsidRPr="002A39DE" w:rsidRDefault="00596996" w:rsidP="001B1846">
      <w:pPr>
        <w:pStyle w:val="ListParagraph"/>
        <w:numPr>
          <w:ilvl w:val="1"/>
          <w:numId w:val="2"/>
        </w:numPr>
        <w:tabs>
          <w:tab w:val="left" w:pos="1134"/>
        </w:tabs>
        <w:ind w:left="1134" w:right="140" w:hanging="567"/>
        <w:contextualSpacing/>
        <w:jc w:val="both"/>
        <w:rPr>
          <w:rFonts w:cs="Arial"/>
          <w:bCs/>
          <w:szCs w:val="24"/>
        </w:rPr>
      </w:pPr>
      <w:r w:rsidRPr="002A39DE">
        <w:rPr>
          <w:rFonts w:cs="Arial"/>
          <w:b/>
          <w:szCs w:val="24"/>
        </w:rPr>
        <w:t>Parks Infrastructure</w:t>
      </w:r>
      <w:r w:rsidRPr="002A39DE">
        <w:rPr>
          <w:rFonts w:cs="Arial"/>
          <w:bCs/>
          <w:szCs w:val="24"/>
        </w:rPr>
        <w:t xml:space="preserve"> - £</w:t>
      </w:r>
      <w:r w:rsidR="002A39DE" w:rsidRPr="002A39DE">
        <w:rPr>
          <w:rFonts w:cs="Arial"/>
          <w:bCs/>
          <w:szCs w:val="24"/>
        </w:rPr>
        <w:t>614</w:t>
      </w:r>
      <w:r w:rsidRPr="002A39DE">
        <w:rPr>
          <w:rFonts w:cs="Arial"/>
          <w:bCs/>
          <w:szCs w:val="24"/>
        </w:rPr>
        <w:t xml:space="preserve">k slippage and </w:t>
      </w:r>
      <w:r w:rsidRPr="002A39DE">
        <w:rPr>
          <w:rFonts w:cs="Arial"/>
          <w:b/>
          <w:szCs w:val="24"/>
        </w:rPr>
        <w:t>Parks Playground Improvement</w:t>
      </w:r>
      <w:r w:rsidRPr="002A39DE">
        <w:rPr>
          <w:rFonts w:cs="Arial"/>
          <w:bCs/>
          <w:szCs w:val="24"/>
        </w:rPr>
        <w:t xml:space="preserve"> - £46k slippage. </w:t>
      </w:r>
      <w:r w:rsidR="002A39DE" w:rsidRPr="002A39DE">
        <w:rPr>
          <w:rFonts w:cs="Arial"/>
          <w:bCs/>
          <w:szCs w:val="24"/>
        </w:rPr>
        <w:t xml:space="preserve">A few projects such as Cedar Gate posts and Bernays </w:t>
      </w:r>
      <w:r w:rsidR="00E42991" w:rsidRPr="002A39DE">
        <w:rPr>
          <w:rFonts w:cs="Arial"/>
          <w:bCs/>
          <w:szCs w:val="24"/>
        </w:rPr>
        <w:t>Garden</w:t>
      </w:r>
      <w:r w:rsidR="002A39DE" w:rsidRPr="002A39DE">
        <w:rPr>
          <w:rFonts w:cs="Arial"/>
          <w:bCs/>
          <w:szCs w:val="24"/>
        </w:rPr>
        <w:t xml:space="preserve"> wall are ongoing following successful external funding applications. A programme of park improvement works was drawn up in late 2022 and is scheduled for delivery in 2023-24</w:t>
      </w:r>
      <w:r w:rsidRPr="002A39DE">
        <w:rPr>
          <w:rFonts w:cs="Arial"/>
          <w:bCs/>
          <w:szCs w:val="24"/>
        </w:rPr>
        <w:t>.</w:t>
      </w:r>
    </w:p>
    <w:p w14:paraId="52570514" w14:textId="77777777" w:rsidR="00516573" w:rsidRPr="0053585A" w:rsidRDefault="00516573" w:rsidP="00516573">
      <w:pPr>
        <w:pStyle w:val="ListParagraph"/>
        <w:rPr>
          <w:rFonts w:cs="Arial"/>
          <w:bCs/>
          <w:szCs w:val="24"/>
        </w:rPr>
      </w:pPr>
    </w:p>
    <w:p w14:paraId="7EF9DB17" w14:textId="5EBC092B" w:rsidR="00516573" w:rsidRPr="0053585A" w:rsidRDefault="00516573" w:rsidP="001B1846">
      <w:pPr>
        <w:pStyle w:val="ListParagraph"/>
        <w:numPr>
          <w:ilvl w:val="1"/>
          <w:numId w:val="2"/>
        </w:numPr>
        <w:tabs>
          <w:tab w:val="left" w:pos="1134"/>
        </w:tabs>
        <w:ind w:left="1134" w:right="140" w:hanging="567"/>
        <w:contextualSpacing/>
        <w:jc w:val="both"/>
        <w:rPr>
          <w:rFonts w:cs="Arial"/>
          <w:bCs/>
          <w:szCs w:val="24"/>
        </w:rPr>
      </w:pPr>
      <w:r w:rsidRPr="0053585A">
        <w:rPr>
          <w:rFonts w:cs="Arial"/>
          <w:b/>
          <w:szCs w:val="24"/>
        </w:rPr>
        <w:t>Vehicle</w:t>
      </w:r>
      <w:r w:rsidR="0053585A" w:rsidRPr="0053585A">
        <w:rPr>
          <w:rFonts w:cs="Arial"/>
          <w:b/>
          <w:szCs w:val="24"/>
        </w:rPr>
        <w:t>s</w:t>
      </w:r>
      <w:r w:rsidRPr="0053585A">
        <w:rPr>
          <w:rFonts w:cs="Arial"/>
          <w:b/>
          <w:szCs w:val="24"/>
        </w:rPr>
        <w:t xml:space="preserve"> Procurement </w:t>
      </w:r>
      <w:r w:rsidRPr="0053585A">
        <w:rPr>
          <w:rFonts w:cs="Arial"/>
          <w:bCs/>
          <w:szCs w:val="24"/>
        </w:rPr>
        <w:t xml:space="preserve">- £136k slippage. The budget </w:t>
      </w:r>
      <w:r w:rsidR="0053585A" w:rsidRPr="0053585A">
        <w:rPr>
          <w:rFonts w:cs="Arial"/>
          <w:bCs/>
          <w:szCs w:val="24"/>
        </w:rPr>
        <w:t>was</w:t>
      </w:r>
      <w:r w:rsidRPr="0053585A">
        <w:rPr>
          <w:rFonts w:cs="Arial"/>
          <w:bCs/>
          <w:szCs w:val="24"/>
        </w:rPr>
        <w:t xml:space="preserve"> originally profiled in </w:t>
      </w:r>
      <w:r w:rsidR="0053585A" w:rsidRPr="0053585A">
        <w:rPr>
          <w:rFonts w:cs="Arial"/>
          <w:bCs/>
          <w:szCs w:val="24"/>
        </w:rPr>
        <w:t>2022-23</w:t>
      </w:r>
      <w:r w:rsidRPr="0053585A">
        <w:rPr>
          <w:rFonts w:cs="Arial"/>
          <w:bCs/>
          <w:szCs w:val="24"/>
        </w:rPr>
        <w:t xml:space="preserve"> to </w:t>
      </w:r>
      <w:r w:rsidR="00930F7A" w:rsidRPr="0053585A">
        <w:rPr>
          <w:rFonts w:cs="Arial"/>
          <w:bCs/>
          <w:szCs w:val="24"/>
        </w:rPr>
        <w:t>deliver</w:t>
      </w:r>
      <w:r w:rsidRPr="0053585A">
        <w:rPr>
          <w:rFonts w:cs="Arial"/>
          <w:bCs/>
          <w:szCs w:val="24"/>
        </w:rPr>
        <w:t xml:space="preserve"> the replacement of a few small vehicles. Following an assessment of vehicle condition, it is planned to keep these for longer and therefore the budget is slipped to 2023-24.</w:t>
      </w:r>
    </w:p>
    <w:p w14:paraId="4FAA8FC5" w14:textId="77777777" w:rsidR="00596996" w:rsidRPr="006160A2" w:rsidRDefault="00596996" w:rsidP="00596996">
      <w:pPr>
        <w:pStyle w:val="ListParagraph"/>
        <w:rPr>
          <w:rFonts w:cs="Arial"/>
          <w:bCs/>
          <w:color w:val="FF0000"/>
          <w:szCs w:val="24"/>
        </w:rPr>
      </w:pPr>
    </w:p>
    <w:p w14:paraId="656ADCEE" w14:textId="7A1EB9C1" w:rsidR="00596996" w:rsidRPr="00AD560E" w:rsidRDefault="00596996" w:rsidP="001B1846">
      <w:pPr>
        <w:pStyle w:val="ListParagraph"/>
        <w:numPr>
          <w:ilvl w:val="1"/>
          <w:numId w:val="2"/>
        </w:numPr>
        <w:tabs>
          <w:tab w:val="left" w:pos="1134"/>
        </w:tabs>
        <w:ind w:left="1134" w:right="140" w:hanging="567"/>
        <w:contextualSpacing/>
        <w:jc w:val="both"/>
        <w:rPr>
          <w:rFonts w:cs="Arial"/>
          <w:bCs/>
          <w:szCs w:val="24"/>
        </w:rPr>
      </w:pPr>
      <w:r w:rsidRPr="00AD560E">
        <w:rPr>
          <w:rFonts w:cs="Arial"/>
          <w:b/>
          <w:szCs w:val="24"/>
        </w:rPr>
        <w:t>CCTV</w:t>
      </w:r>
      <w:r w:rsidR="00AD560E" w:rsidRPr="00AD560E">
        <w:rPr>
          <w:rFonts w:cs="Arial"/>
          <w:b/>
          <w:szCs w:val="24"/>
        </w:rPr>
        <w:t xml:space="preserve"> Cameras and CCTV</w:t>
      </w:r>
      <w:r w:rsidRPr="00AD560E">
        <w:rPr>
          <w:rFonts w:cs="Arial"/>
          <w:b/>
          <w:szCs w:val="24"/>
        </w:rPr>
        <w:t xml:space="preserve"> Infrastructure</w:t>
      </w:r>
      <w:r w:rsidRPr="00AD560E">
        <w:rPr>
          <w:rFonts w:cs="Arial"/>
          <w:bCs/>
          <w:szCs w:val="24"/>
        </w:rPr>
        <w:t xml:space="preserve"> - £</w:t>
      </w:r>
      <w:r w:rsidR="00AD560E" w:rsidRPr="00AD560E">
        <w:rPr>
          <w:rFonts w:cs="Arial"/>
          <w:bCs/>
          <w:szCs w:val="24"/>
        </w:rPr>
        <w:t>3</w:t>
      </w:r>
      <w:r w:rsidRPr="00AD560E">
        <w:rPr>
          <w:rFonts w:cs="Arial"/>
          <w:bCs/>
          <w:szCs w:val="24"/>
        </w:rPr>
        <w:t xml:space="preserve">82k slippage. </w:t>
      </w:r>
      <w:r w:rsidR="00AD560E" w:rsidRPr="00AD560E">
        <w:rPr>
          <w:rFonts w:cs="Arial"/>
          <w:bCs/>
          <w:szCs w:val="24"/>
        </w:rPr>
        <w:t xml:space="preserve">The installation </w:t>
      </w:r>
      <w:r w:rsidR="00E42991" w:rsidRPr="00AD560E">
        <w:rPr>
          <w:rFonts w:cs="Arial"/>
          <w:bCs/>
          <w:szCs w:val="24"/>
        </w:rPr>
        <w:t>of</w:t>
      </w:r>
      <w:r w:rsidR="00AD560E" w:rsidRPr="00AD560E">
        <w:rPr>
          <w:rFonts w:cs="Arial"/>
          <w:bCs/>
          <w:szCs w:val="24"/>
        </w:rPr>
        <w:t xml:space="preserve"> a new CCTV control room commenced in 2022-23 with some remaining works continuing into 2023-24. The remaining budget will be used to fund these and additional CCTV cameras.</w:t>
      </w:r>
    </w:p>
    <w:p w14:paraId="6BD1F9C7" w14:textId="77777777" w:rsidR="00596996" w:rsidRPr="0053585A" w:rsidRDefault="00596996" w:rsidP="00596996">
      <w:pPr>
        <w:pStyle w:val="ListParagraph"/>
        <w:rPr>
          <w:rFonts w:cs="Arial"/>
          <w:bCs/>
          <w:szCs w:val="24"/>
        </w:rPr>
      </w:pPr>
    </w:p>
    <w:p w14:paraId="1FC536BF" w14:textId="58B25DA8" w:rsidR="00596996" w:rsidRDefault="00596996" w:rsidP="001B1846">
      <w:pPr>
        <w:pStyle w:val="ListParagraph"/>
        <w:numPr>
          <w:ilvl w:val="1"/>
          <w:numId w:val="2"/>
        </w:numPr>
        <w:tabs>
          <w:tab w:val="left" w:pos="1134"/>
        </w:tabs>
        <w:ind w:left="1134" w:right="140" w:hanging="567"/>
        <w:contextualSpacing/>
        <w:jc w:val="both"/>
        <w:rPr>
          <w:rFonts w:cs="Arial"/>
          <w:bCs/>
          <w:szCs w:val="24"/>
        </w:rPr>
      </w:pPr>
      <w:r w:rsidRPr="0053585A">
        <w:rPr>
          <w:rFonts w:cs="Arial"/>
          <w:b/>
          <w:szCs w:val="24"/>
        </w:rPr>
        <w:t>Public Sector Decarbonisation Scheme</w:t>
      </w:r>
      <w:r w:rsidRPr="0053585A">
        <w:rPr>
          <w:rFonts w:cs="Arial"/>
          <w:bCs/>
          <w:szCs w:val="24"/>
        </w:rPr>
        <w:t xml:space="preserve"> - £</w:t>
      </w:r>
      <w:r w:rsidR="002A39DE" w:rsidRPr="0053585A">
        <w:rPr>
          <w:rFonts w:cs="Arial"/>
          <w:bCs/>
          <w:szCs w:val="24"/>
        </w:rPr>
        <w:t>525</w:t>
      </w:r>
      <w:r w:rsidRPr="0053585A">
        <w:rPr>
          <w:rFonts w:cs="Arial"/>
          <w:bCs/>
          <w:szCs w:val="24"/>
        </w:rPr>
        <w:t>k slippage</w:t>
      </w:r>
      <w:r w:rsidR="0053585A" w:rsidRPr="0053585A">
        <w:rPr>
          <w:rFonts w:cs="Arial"/>
          <w:bCs/>
          <w:szCs w:val="24"/>
        </w:rPr>
        <w:t xml:space="preserve">, </w:t>
      </w:r>
      <w:r w:rsidR="0053585A" w:rsidRPr="0053585A">
        <w:rPr>
          <w:rFonts w:cs="Arial"/>
          <w:b/>
          <w:szCs w:val="24"/>
        </w:rPr>
        <w:t>Carbon Offset Fund</w:t>
      </w:r>
      <w:r w:rsidR="0053585A" w:rsidRPr="0053585A">
        <w:rPr>
          <w:rFonts w:cs="Arial"/>
          <w:bCs/>
          <w:szCs w:val="24"/>
        </w:rPr>
        <w:t xml:space="preserve"> - £40k slippage and </w:t>
      </w:r>
      <w:r w:rsidR="0053585A" w:rsidRPr="0053585A">
        <w:rPr>
          <w:rFonts w:cs="Arial"/>
          <w:b/>
          <w:szCs w:val="24"/>
        </w:rPr>
        <w:t xml:space="preserve">Climate Emergency (Energy Emission Reduction Measures) </w:t>
      </w:r>
      <w:r w:rsidR="0053585A" w:rsidRPr="0053585A">
        <w:rPr>
          <w:rFonts w:cs="Arial"/>
          <w:bCs/>
          <w:szCs w:val="24"/>
        </w:rPr>
        <w:t>- £250k slippage</w:t>
      </w:r>
      <w:r w:rsidRPr="0053585A">
        <w:rPr>
          <w:rFonts w:cs="Arial"/>
          <w:bCs/>
          <w:szCs w:val="24"/>
        </w:rPr>
        <w:t xml:space="preserve">. </w:t>
      </w:r>
      <w:r w:rsidR="0053585A" w:rsidRPr="0053585A">
        <w:rPr>
          <w:rFonts w:cs="Arial"/>
          <w:bCs/>
          <w:szCs w:val="24"/>
        </w:rPr>
        <w:t xml:space="preserve">External funding was secured to deliver energy efficiency measures across school sites and corporate </w:t>
      </w:r>
      <w:r w:rsidR="00E42991" w:rsidRPr="0053585A">
        <w:rPr>
          <w:rFonts w:cs="Arial"/>
          <w:bCs/>
          <w:szCs w:val="24"/>
        </w:rPr>
        <w:t>buildings</w:t>
      </w:r>
      <w:r w:rsidR="0053585A" w:rsidRPr="0053585A">
        <w:rPr>
          <w:rFonts w:cs="Arial"/>
          <w:bCs/>
          <w:szCs w:val="24"/>
        </w:rPr>
        <w:t>. These projects are near completion. More energy efficiency projects will be delivered in 2023-24 utilising the slippage.</w:t>
      </w:r>
    </w:p>
    <w:p w14:paraId="32AEB9B7" w14:textId="77777777" w:rsidR="0053585A" w:rsidRPr="0053585A" w:rsidRDefault="0053585A" w:rsidP="0053585A">
      <w:pPr>
        <w:pStyle w:val="ListParagraph"/>
        <w:rPr>
          <w:rFonts w:cs="Arial"/>
          <w:bCs/>
          <w:szCs w:val="24"/>
        </w:rPr>
      </w:pPr>
    </w:p>
    <w:p w14:paraId="33ADEECB" w14:textId="65F8FFFB" w:rsidR="0053585A" w:rsidRPr="0053585A" w:rsidRDefault="0053585A" w:rsidP="001B1846">
      <w:pPr>
        <w:pStyle w:val="ListParagraph"/>
        <w:numPr>
          <w:ilvl w:val="1"/>
          <w:numId w:val="2"/>
        </w:numPr>
        <w:tabs>
          <w:tab w:val="left" w:pos="1134"/>
        </w:tabs>
        <w:ind w:left="1134" w:right="140" w:hanging="567"/>
        <w:contextualSpacing/>
        <w:jc w:val="both"/>
        <w:rPr>
          <w:rFonts w:cs="Arial"/>
          <w:bCs/>
          <w:szCs w:val="24"/>
        </w:rPr>
      </w:pPr>
      <w:r w:rsidRPr="0053585A">
        <w:rPr>
          <w:rFonts w:cs="Arial"/>
          <w:b/>
          <w:szCs w:val="24"/>
        </w:rPr>
        <w:t>Wealdstone Bus Improvement Scheme</w:t>
      </w:r>
      <w:r>
        <w:rPr>
          <w:rFonts w:cs="Arial"/>
          <w:bCs/>
          <w:szCs w:val="24"/>
        </w:rPr>
        <w:t xml:space="preserve"> - £234k slippage. Works are ongoing and the project is due to be completed in early 2023-24.</w:t>
      </w:r>
    </w:p>
    <w:p w14:paraId="29ECE852" w14:textId="77777777" w:rsidR="005A0F94" w:rsidRPr="0053585A" w:rsidRDefault="005A0F94" w:rsidP="005A0F94">
      <w:pPr>
        <w:pStyle w:val="ListParagraph"/>
        <w:tabs>
          <w:tab w:val="left" w:pos="567"/>
        </w:tabs>
        <w:ind w:left="567"/>
        <w:jc w:val="both"/>
        <w:rPr>
          <w:rFonts w:cs="Arial"/>
          <w:szCs w:val="24"/>
        </w:rPr>
      </w:pPr>
    </w:p>
    <w:p w14:paraId="5D68EF08" w14:textId="77777777" w:rsidR="002000B9" w:rsidRPr="00B0172D" w:rsidRDefault="002000B9" w:rsidP="00AF06B3">
      <w:pPr>
        <w:pStyle w:val="ListParagraph"/>
        <w:numPr>
          <w:ilvl w:val="0"/>
          <w:numId w:val="2"/>
        </w:numPr>
        <w:tabs>
          <w:tab w:val="left" w:pos="851"/>
        </w:tabs>
        <w:ind w:left="567" w:hanging="567"/>
        <w:jc w:val="both"/>
        <w:rPr>
          <w:rFonts w:cs="Arial"/>
          <w:szCs w:val="24"/>
        </w:rPr>
      </w:pPr>
      <w:r w:rsidRPr="00B0172D">
        <w:rPr>
          <w:rFonts w:cs="Arial"/>
          <w:bCs/>
          <w:szCs w:val="24"/>
        </w:rPr>
        <w:t>Unless stated otherwise, the slippage has no implications on the revenue budget.</w:t>
      </w:r>
    </w:p>
    <w:p w14:paraId="26F0A7E7" w14:textId="475F9C36" w:rsidR="002000B9" w:rsidRPr="00B0172D" w:rsidRDefault="00385E43" w:rsidP="002000B9">
      <w:pPr>
        <w:pStyle w:val="ListParagraph"/>
        <w:tabs>
          <w:tab w:val="left" w:pos="851"/>
        </w:tabs>
        <w:ind w:left="567"/>
        <w:jc w:val="both"/>
        <w:rPr>
          <w:rFonts w:cs="Arial"/>
          <w:szCs w:val="24"/>
        </w:rPr>
      </w:pPr>
      <w:r w:rsidRPr="00B0172D">
        <w:rPr>
          <w:rFonts w:cs="Arial"/>
          <w:b/>
          <w:szCs w:val="24"/>
        </w:rPr>
        <w:lastRenderedPageBreak/>
        <w:t xml:space="preserve">Inclusive Economy, </w:t>
      </w:r>
      <w:proofErr w:type="gramStart"/>
      <w:r w:rsidRPr="00B0172D">
        <w:rPr>
          <w:rFonts w:cs="Arial"/>
          <w:b/>
          <w:szCs w:val="24"/>
        </w:rPr>
        <w:t>Leisure</w:t>
      </w:r>
      <w:proofErr w:type="gramEnd"/>
      <w:r w:rsidRPr="00B0172D">
        <w:rPr>
          <w:rFonts w:cs="Arial"/>
          <w:b/>
          <w:szCs w:val="24"/>
        </w:rPr>
        <w:t xml:space="preserve"> and Culture</w:t>
      </w:r>
    </w:p>
    <w:p w14:paraId="79661E8F" w14:textId="77777777" w:rsidR="002000B9" w:rsidRPr="00B0172D" w:rsidRDefault="002000B9" w:rsidP="002000B9">
      <w:pPr>
        <w:pStyle w:val="ListParagraph"/>
        <w:tabs>
          <w:tab w:val="left" w:pos="851"/>
        </w:tabs>
        <w:ind w:left="567" w:hanging="567"/>
        <w:rPr>
          <w:rFonts w:cs="Arial"/>
          <w:bCs/>
          <w:szCs w:val="24"/>
        </w:rPr>
      </w:pPr>
    </w:p>
    <w:p w14:paraId="4805034A" w14:textId="4ECCA89F" w:rsidR="002000B9" w:rsidRPr="006160A2" w:rsidRDefault="002000B9" w:rsidP="00E42744">
      <w:pPr>
        <w:pStyle w:val="ListParagraph"/>
        <w:numPr>
          <w:ilvl w:val="0"/>
          <w:numId w:val="2"/>
        </w:numPr>
        <w:tabs>
          <w:tab w:val="left" w:pos="851"/>
        </w:tabs>
        <w:ind w:left="567" w:hanging="567"/>
        <w:jc w:val="both"/>
        <w:rPr>
          <w:rFonts w:cs="Arial"/>
          <w:bCs/>
          <w:color w:val="FF0000"/>
          <w:szCs w:val="24"/>
        </w:rPr>
      </w:pPr>
      <w:r w:rsidRPr="00B0172D">
        <w:rPr>
          <w:rFonts w:cs="Arial"/>
          <w:bCs/>
          <w:szCs w:val="24"/>
        </w:rPr>
        <w:t xml:space="preserve">The </w:t>
      </w:r>
      <w:r w:rsidR="0053585A" w:rsidRPr="00B0172D">
        <w:rPr>
          <w:rFonts w:cs="Arial"/>
          <w:bCs/>
          <w:szCs w:val="24"/>
        </w:rPr>
        <w:t>final outturn</w:t>
      </w:r>
      <w:r w:rsidR="005A0F94" w:rsidRPr="00B0172D">
        <w:rPr>
          <w:rFonts w:cs="Arial"/>
          <w:bCs/>
          <w:szCs w:val="24"/>
        </w:rPr>
        <w:t xml:space="preserve"> is</w:t>
      </w:r>
      <w:r w:rsidR="0053585A" w:rsidRPr="00B0172D">
        <w:rPr>
          <w:rFonts w:cs="Arial"/>
          <w:bCs/>
          <w:szCs w:val="24"/>
        </w:rPr>
        <w:t xml:space="preserve"> </w:t>
      </w:r>
      <w:proofErr w:type="gramStart"/>
      <w:r w:rsidR="0053585A" w:rsidRPr="00B0172D">
        <w:rPr>
          <w:rFonts w:cs="Arial"/>
          <w:bCs/>
          <w:szCs w:val="24"/>
        </w:rPr>
        <w:t>spend</w:t>
      </w:r>
      <w:proofErr w:type="gramEnd"/>
      <w:r w:rsidR="0053585A" w:rsidRPr="00B0172D">
        <w:rPr>
          <w:rFonts w:cs="Arial"/>
          <w:bCs/>
          <w:szCs w:val="24"/>
        </w:rPr>
        <w:t xml:space="preserve"> of</w:t>
      </w:r>
      <w:r w:rsidR="005A0F94" w:rsidRPr="00B0172D">
        <w:rPr>
          <w:rFonts w:cs="Arial"/>
          <w:bCs/>
          <w:szCs w:val="24"/>
        </w:rPr>
        <w:t xml:space="preserve"> £</w:t>
      </w:r>
      <w:r w:rsidR="00385E43" w:rsidRPr="00B0172D">
        <w:rPr>
          <w:rFonts w:cs="Arial"/>
          <w:bCs/>
          <w:szCs w:val="24"/>
        </w:rPr>
        <w:t>3.</w:t>
      </w:r>
      <w:r w:rsidR="0053585A" w:rsidRPr="00B0172D">
        <w:rPr>
          <w:rFonts w:cs="Arial"/>
          <w:bCs/>
          <w:szCs w:val="24"/>
        </w:rPr>
        <w:t>0</w:t>
      </w:r>
      <w:r w:rsidR="00385E43" w:rsidRPr="00B0172D">
        <w:rPr>
          <w:rFonts w:cs="Arial"/>
          <w:bCs/>
          <w:szCs w:val="24"/>
        </w:rPr>
        <w:t>63m against a budget of £</w:t>
      </w:r>
      <w:r w:rsidR="0053585A" w:rsidRPr="00B0172D">
        <w:rPr>
          <w:rFonts w:cs="Arial"/>
          <w:bCs/>
          <w:szCs w:val="24"/>
        </w:rPr>
        <w:t>6.508</w:t>
      </w:r>
      <w:r w:rsidR="00385E43" w:rsidRPr="00B0172D">
        <w:rPr>
          <w:rFonts w:cs="Arial"/>
          <w:bCs/>
          <w:szCs w:val="24"/>
        </w:rPr>
        <w:t>m</w:t>
      </w:r>
      <w:r w:rsidR="00B66A78" w:rsidRPr="00B0172D">
        <w:rPr>
          <w:rFonts w:cs="Arial"/>
          <w:bCs/>
          <w:szCs w:val="24"/>
        </w:rPr>
        <w:t xml:space="preserve"> which represents 47% of the budget</w:t>
      </w:r>
      <w:r w:rsidR="0053585A" w:rsidRPr="00B0172D">
        <w:rPr>
          <w:rFonts w:cs="Arial"/>
          <w:bCs/>
          <w:szCs w:val="24"/>
        </w:rPr>
        <w:t xml:space="preserve">. </w:t>
      </w:r>
      <w:r w:rsidR="0053585A" w:rsidRPr="00B0172D">
        <w:rPr>
          <w:bCs/>
          <w:szCs w:val="24"/>
        </w:rPr>
        <w:t>Of the variance to budget of £</w:t>
      </w:r>
      <w:r w:rsidR="00B66A78" w:rsidRPr="00B0172D">
        <w:rPr>
          <w:bCs/>
          <w:szCs w:val="24"/>
        </w:rPr>
        <w:t>3.445m</w:t>
      </w:r>
      <w:r w:rsidR="0053585A" w:rsidRPr="00B0172D">
        <w:rPr>
          <w:bCs/>
          <w:szCs w:val="24"/>
        </w:rPr>
        <w:t>, a total of £</w:t>
      </w:r>
      <w:r w:rsidR="00B66A78" w:rsidRPr="00B0172D">
        <w:rPr>
          <w:bCs/>
          <w:szCs w:val="24"/>
        </w:rPr>
        <w:t>2.545m</w:t>
      </w:r>
      <w:r w:rsidR="0053585A" w:rsidRPr="00B0172D">
        <w:rPr>
          <w:bCs/>
          <w:szCs w:val="24"/>
        </w:rPr>
        <w:t xml:space="preserve"> of funding will be slipped to 2023-24 to complete ongoing projects. The underspend of £</w:t>
      </w:r>
      <w:r w:rsidR="00B66A78" w:rsidRPr="00B0172D">
        <w:rPr>
          <w:bCs/>
          <w:szCs w:val="24"/>
        </w:rPr>
        <w:t>900k</w:t>
      </w:r>
      <w:r w:rsidR="0053585A" w:rsidRPr="00B0172D">
        <w:rPr>
          <w:bCs/>
          <w:szCs w:val="24"/>
        </w:rPr>
        <w:t xml:space="preserve"> results from project underspends o</w:t>
      </w:r>
      <w:r w:rsidR="00B66A78" w:rsidRPr="00B0172D">
        <w:rPr>
          <w:bCs/>
          <w:szCs w:val="24"/>
        </w:rPr>
        <w:t xml:space="preserve">f £22k for projects fully completed, £500k budget surplus </w:t>
      </w:r>
      <w:r w:rsidR="00B66A78">
        <w:rPr>
          <w:bCs/>
          <w:szCs w:val="24"/>
        </w:rPr>
        <w:t>for Harrow High Street Fund Programme and £378k being removed from the capital programme as the corresponding BCIL funded projects are of revenue nature and therefore reclassified as revenue projects.</w:t>
      </w:r>
    </w:p>
    <w:p w14:paraId="001EA0B4" w14:textId="77777777" w:rsidR="002000B9" w:rsidRPr="00B66A78" w:rsidRDefault="002000B9" w:rsidP="002000B9">
      <w:pPr>
        <w:pStyle w:val="ListParagraph"/>
        <w:tabs>
          <w:tab w:val="left" w:pos="851"/>
        </w:tabs>
        <w:ind w:left="567" w:hanging="567"/>
        <w:jc w:val="both"/>
        <w:rPr>
          <w:rFonts w:cs="Arial"/>
          <w:szCs w:val="24"/>
        </w:rPr>
      </w:pPr>
    </w:p>
    <w:p w14:paraId="0A519811" w14:textId="50B33862" w:rsidR="005A0F94" w:rsidRPr="00B66A78" w:rsidRDefault="005A0F94" w:rsidP="001B1846">
      <w:pPr>
        <w:pStyle w:val="ListParagraph"/>
        <w:numPr>
          <w:ilvl w:val="1"/>
          <w:numId w:val="2"/>
        </w:numPr>
        <w:tabs>
          <w:tab w:val="left" w:pos="1134"/>
        </w:tabs>
        <w:ind w:left="1134" w:hanging="567"/>
        <w:jc w:val="both"/>
        <w:rPr>
          <w:rFonts w:cs="Arial"/>
          <w:szCs w:val="24"/>
        </w:rPr>
      </w:pPr>
      <w:r w:rsidRPr="00B66A78">
        <w:rPr>
          <w:rFonts w:cs="Arial"/>
          <w:b/>
          <w:bCs/>
          <w:szCs w:val="24"/>
        </w:rPr>
        <w:t>High Street Fund</w:t>
      </w:r>
      <w:r w:rsidRPr="00B66A78">
        <w:rPr>
          <w:rFonts w:cs="Arial"/>
          <w:szCs w:val="24"/>
        </w:rPr>
        <w:t xml:space="preserve"> - £1.</w:t>
      </w:r>
      <w:r w:rsidR="00B66A78" w:rsidRPr="00B66A78">
        <w:rPr>
          <w:rFonts w:cs="Arial"/>
          <w:szCs w:val="24"/>
        </w:rPr>
        <w:t>165</w:t>
      </w:r>
      <w:r w:rsidRPr="00B66A78">
        <w:rPr>
          <w:rFonts w:cs="Arial"/>
          <w:szCs w:val="24"/>
        </w:rPr>
        <w:t xml:space="preserve">m slippage. </w:t>
      </w:r>
      <w:r w:rsidR="00B66A78" w:rsidRPr="00B66A78">
        <w:rPr>
          <w:rFonts w:cs="Arial"/>
          <w:szCs w:val="24"/>
        </w:rPr>
        <w:t>This project is BCIL funded. A new programme of activities has been agreed and it is being progressed to delivery phase in 2023-24</w:t>
      </w:r>
      <w:r w:rsidR="001B1846" w:rsidRPr="00B66A78">
        <w:rPr>
          <w:rFonts w:cs="Arial"/>
          <w:szCs w:val="24"/>
        </w:rPr>
        <w:t>.</w:t>
      </w:r>
    </w:p>
    <w:p w14:paraId="0CE12A3C" w14:textId="77777777" w:rsidR="00385E43" w:rsidRPr="00B66A78" w:rsidRDefault="00385E43" w:rsidP="00385E43">
      <w:pPr>
        <w:pStyle w:val="ListParagraph"/>
        <w:tabs>
          <w:tab w:val="left" w:pos="1134"/>
        </w:tabs>
        <w:ind w:left="1134"/>
        <w:jc w:val="both"/>
        <w:rPr>
          <w:rFonts w:cs="Arial"/>
          <w:szCs w:val="24"/>
        </w:rPr>
      </w:pPr>
    </w:p>
    <w:p w14:paraId="7E57CF83" w14:textId="41153B01" w:rsidR="00385E43" w:rsidRPr="00B66A78" w:rsidRDefault="00385E43" w:rsidP="001B1846">
      <w:pPr>
        <w:pStyle w:val="ListParagraph"/>
        <w:numPr>
          <w:ilvl w:val="1"/>
          <w:numId w:val="2"/>
        </w:numPr>
        <w:tabs>
          <w:tab w:val="left" w:pos="1134"/>
        </w:tabs>
        <w:ind w:left="1134" w:hanging="567"/>
        <w:jc w:val="both"/>
        <w:rPr>
          <w:rFonts w:cs="Arial"/>
          <w:szCs w:val="24"/>
        </w:rPr>
      </w:pPr>
      <w:r w:rsidRPr="00B66A78">
        <w:rPr>
          <w:rFonts w:cs="Arial"/>
          <w:b/>
          <w:bCs/>
          <w:szCs w:val="24"/>
        </w:rPr>
        <w:t xml:space="preserve">Harrow Arts Centre </w:t>
      </w:r>
      <w:r w:rsidRPr="00B66A78">
        <w:rPr>
          <w:rFonts w:cs="Arial"/>
          <w:szCs w:val="24"/>
        </w:rPr>
        <w:t>- £</w:t>
      </w:r>
      <w:r w:rsidR="00B66A78" w:rsidRPr="00B66A78">
        <w:rPr>
          <w:rFonts w:cs="Arial"/>
          <w:szCs w:val="24"/>
        </w:rPr>
        <w:t>637</w:t>
      </w:r>
      <w:r w:rsidRPr="00B66A78">
        <w:rPr>
          <w:rFonts w:cs="Arial"/>
          <w:szCs w:val="24"/>
        </w:rPr>
        <w:t>k slippage. The construction works are underway on site. There have been some delays due to material and subcontractor issues. The project is now due for completion in Q1 2023-24</w:t>
      </w:r>
    </w:p>
    <w:p w14:paraId="5344B5E4" w14:textId="77777777" w:rsidR="00385E43" w:rsidRPr="00B66A78" w:rsidRDefault="00385E43" w:rsidP="00385E43">
      <w:pPr>
        <w:pStyle w:val="ListParagraph"/>
        <w:rPr>
          <w:rFonts w:cs="Arial"/>
          <w:szCs w:val="24"/>
        </w:rPr>
      </w:pPr>
    </w:p>
    <w:p w14:paraId="574A2A46" w14:textId="0686DC0D" w:rsidR="00385E43" w:rsidRDefault="007059B0" w:rsidP="001B1846">
      <w:pPr>
        <w:pStyle w:val="ListParagraph"/>
        <w:numPr>
          <w:ilvl w:val="1"/>
          <w:numId w:val="2"/>
        </w:numPr>
        <w:tabs>
          <w:tab w:val="left" w:pos="1134"/>
        </w:tabs>
        <w:ind w:left="1134" w:hanging="567"/>
        <w:jc w:val="both"/>
        <w:rPr>
          <w:rFonts w:cs="Arial"/>
          <w:szCs w:val="24"/>
        </w:rPr>
      </w:pPr>
      <w:r w:rsidRPr="00B66A78">
        <w:rPr>
          <w:rFonts w:cs="Arial"/>
          <w:b/>
          <w:bCs/>
          <w:szCs w:val="24"/>
        </w:rPr>
        <w:t>Harrow</w:t>
      </w:r>
      <w:r w:rsidR="00385E43" w:rsidRPr="00B66A78">
        <w:rPr>
          <w:rFonts w:cs="Arial"/>
          <w:b/>
          <w:bCs/>
          <w:szCs w:val="24"/>
        </w:rPr>
        <w:t xml:space="preserve"> Arts Centre Capital Infrastructure</w:t>
      </w:r>
      <w:r w:rsidR="00385E43" w:rsidRPr="00B66A78">
        <w:rPr>
          <w:rFonts w:cs="Arial"/>
          <w:szCs w:val="24"/>
        </w:rPr>
        <w:t xml:space="preserve"> - £</w:t>
      </w:r>
      <w:r w:rsidR="00B66A78" w:rsidRPr="00B66A78">
        <w:rPr>
          <w:rFonts w:cs="Arial"/>
          <w:szCs w:val="24"/>
        </w:rPr>
        <w:t>43</w:t>
      </w:r>
      <w:r w:rsidR="00385E43" w:rsidRPr="00B66A78">
        <w:rPr>
          <w:rFonts w:cs="Arial"/>
          <w:szCs w:val="24"/>
        </w:rPr>
        <w:t xml:space="preserve">k underspend. </w:t>
      </w:r>
      <w:r w:rsidR="00B66A78" w:rsidRPr="00B66A78">
        <w:rPr>
          <w:rFonts w:cs="Arial"/>
          <w:szCs w:val="24"/>
        </w:rPr>
        <w:t xml:space="preserve">The funding is set aside for roof </w:t>
      </w:r>
      <w:proofErr w:type="gramStart"/>
      <w:r w:rsidR="00B66A78" w:rsidRPr="00B66A78">
        <w:rPr>
          <w:rFonts w:cs="Arial"/>
          <w:szCs w:val="24"/>
        </w:rPr>
        <w:t>repair,</w:t>
      </w:r>
      <w:proofErr w:type="gramEnd"/>
      <w:r w:rsidR="00B66A78" w:rsidRPr="00B66A78">
        <w:rPr>
          <w:rFonts w:cs="Arial"/>
          <w:szCs w:val="24"/>
        </w:rPr>
        <w:t xml:space="preserve"> however the cost is more expensive than expected due to the presence of asbestos. The project will be progressed by allocating some of the 2023-24 budget in the capital programme to complete the work.</w:t>
      </w:r>
    </w:p>
    <w:p w14:paraId="6EAD3377" w14:textId="77777777" w:rsidR="00B66A78" w:rsidRPr="00B66A78" w:rsidRDefault="00B66A78" w:rsidP="00B66A78">
      <w:pPr>
        <w:pStyle w:val="ListParagraph"/>
        <w:rPr>
          <w:rFonts w:cs="Arial"/>
          <w:szCs w:val="24"/>
        </w:rPr>
      </w:pPr>
    </w:p>
    <w:p w14:paraId="7EB48708" w14:textId="19EC5870" w:rsidR="00B66A78" w:rsidRDefault="00B66A78" w:rsidP="001B1846">
      <w:pPr>
        <w:pStyle w:val="ListParagraph"/>
        <w:numPr>
          <w:ilvl w:val="1"/>
          <w:numId w:val="2"/>
        </w:numPr>
        <w:tabs>
          <w:tab w:val="left" w:pos="1134"/>
        </w:tabs>
        <w:ind w:left="1134" w:hanging="567"/>
        <w:jc w:val="both"/>
        <w:rPr>
          <w:rFonts w:cs="Arial"/>
          <w:szCs w:val="24"/>
        </w:rPr>
      </w:pPr>
      <w:r w:rsidRPr="00B66A78">
        <w:rPr>
          <w:rFonts w:cs="Arial"/>
          <w:b/>
          <w:bCs/>
          <w:szCs w:val="24"/>
        </w:rPr>
        <w:t>Harrow Weald Pavilion</w:t>
      </w:r>
      <w:r>
        <w:rPr>
          <w:rFonts w:cs="Arial"/>
          <w:szCs w:val="24"/>
        </w:rPr>
        <w:t xml:space="preserve"> - £10k slippage due to outstanding electrical works which will be completed in 2023-24</w:t>
      </w:r>
    </w:p>
    <w:p w14:paraId="55135CEB" w14:textId="77777777" w:rsidR="00B66A78" w:rsidRPr="00B66A78" w:rsidRDefault="00B66A78" w:rsidP="00B66A78">
      <w:pPr>
        <w:pStyle w:val="ListParagraph"/>
        <w:rPr>
          <w:rFonts w:cs="Arial"/>
          <w:szCs w:val="24"/>
        </w:rPr>
      </w:pPr>
    </w:p>
    <w:p w14:paraId="1B09767D" w14:textId="56BDFFD5" w:rsidR="00B66A78" w:rsidRDefault="00B66A78" w:rsidP="001B1846">
      <w:pPr>
        <w:pStyle w:val="ListParagraph"/>
        <w:numPr>
          <w:ilvl w:val="1"/>
          <w:numId w:val="2"/>
        </w:numPr>
        <w:tabs>
          <w:tab w:val="left" w:pos="1134"/>
        </w:tabs>
        <w:ind w:left="1134" w:hanging="567"/>
        <w:jc w:val="both"/>
        <w:rPr>
          <w:rFonts w:cs="Arial"/>
          <w:szCs w:val="24"/>
        </w:rPr>
      </w:pPr>
      <w:r w:rsidRPr="00B66A78">
        <w:rPr>
          <w:rFonts w:cs="Arial"/>
          <w:b/>
          <w:bCs/>
          <w:szCs w:val="24"/>
        </w:rPr>
        <w:t>Libraries and Leisure Capital Infrastructure</w:t>
      </w:r>
      <w:r>
        <w:rPr>
          <w:rFonts w:cs="Arial"/>
          <w:szCs w:val="24"/>
        </w:rPr>
        <w:t xml:space="preserve"> - £114k slippage. There is a delay in completing the renovation of wet side changing facilities at the leisure centre due to the need to coordinate the works with other essential health &amp; </w:t>
      </w:r>
      <w:r w:rsidR="00E42991">
        <w:rPr>
          <w:rFonts w:cs="Arial"/>
          <w:szCs w:val="24"/>
        </w:rPr>
        <w:t>safety</w:t>
      </w:r>
      <w:r>
        <w:rPr>
          <w:rFonts w:cs="Arial"/>
          <w:szCs w:val="24"/>
        </w:rPr>
        <w:t xml:space="preserve"> works relating to the control of legionella.</w:t>
      </w:r>
    </w:p>
    <w:p w14:paraId="53EBCB93" w14:textId="77777777" w:rsidR="00B66A78" w:rsidRPr="00B66A78" w:rsidRDefault="00B66A78" w:rsidP="00B66A78">
      <w:pPr>
        <w:pStyle w:val="ListParagraph"/>
        <w:rPr>
          <w:rFonts w:cs="Arial"/>
          <w:szCs w:val="24"/>
        </w:rPr>
      </w:pPr>
    </w:p>
    <w:p w14:paraId="42FBE0CC" w14:textId="6EF09664" w:rsidR="00B66A78" w:rsidRDefault="00B66A78" w:rsidP="001B1846">
      <w:pPr>
        <w:pStyle w:val="ListParagraph"/>
        <w:numPr>
          <w:ilvl w:val="1"/>
          <w:numId w:val="2"/>
        </w:numPr>
        <w:tabs>
          <w:tab w:val="left" w:pos="1134"/>
        </w:tabs>
        <w:ind w:left="1134" w:hanging="567"/>
        <w:jc w:val="both"/>
        <w:rPr>
          <w:rFonts w:cs="Arial"/>
          <w:szCs w:val="24"/>
        </w:rPr>
      </w:pPr>
      <w:r w:rsidRPr="00B66A78">
        <w:rPr>
          <w:rFonts w:cs="Arial"/>
          <w:b/>
          <w:bCs/>
          <w:szCs w:val="24"/>
        </w:rPr>
        <w:t>Tennis Infrastructure</w:t>
      </w:r>
      <w:r>
        <w:rPr>
          <w:rFonts w:cs="Arial"/>
          <w:szCs w:val="24"/>
        </w:rPr>
        <w:t xml:space="preserve"> - £551k slippage. The refurbishment of tennis courts is underway following the award of external funding from Lawn Tennis Association</w:t>
      </w:r>
    </w:p>
    <w:p w14:paraId="3ABA1A3B" w14:textId="77777777" w:rsidR="00B66A78" w:rsidRPr="00B66A78" w:rsidRDefault="00B66A78" w:rsidP="00B66A78">
      <w:pPr>
        <w:pStyle w:val="ListParagraph"/>
        <w:rPr>
          <w:rFonts w:cs="Arial"/>
          <w:szCs w:val="24"/>
        </w:rPr>
      </w:pPr>
    </w:p>
    <w:p w14:paraId="1EC65BBD" w14:textId="7AF2A512" w:rsidR="00B66A78" w:rsidRPr="00B66A78" w:rsidRDefault="00B66A78" w:rsidP="001B1846">
      <w:pPr>
        <w:pStyle w:val="ListParagraph"/>
        <w:numPr>
          <w:ilvl w:val="1"/>
          <w:numId w:val="2"/>
        </w:numPr>
        <w:tabs>
          <w:tab w:val="left" w:pos="1134"/>
        </w:tabs>
        <w:ind w:left="1134" w:hanging="567"/>
        <w:jc w:val="both"/>
        <w:rPr>
          <w:rFonts w:cs="Arial"/>
          <w:szCs w:val="24"/>
        </w:rPr>
      </w:pPr>
      <w:r w:rsidRPr="00B66A78">
        <w:rPr>
          <w:rFonts w:cs="Arial"/>
          <w:b/>
          <w:bCs/>
          <w:szCs w:val="24"/>
        </w:rPr>
        <w:t>UK Shared Prosperity Fund</w:t>
      </w:r>
      <w:r>
        <w:rPr>
          <w:rFonts w:cs="Arial"/>
          <w:szCs w:val="24"/>
        </w:rPr>
        <w:t xml:space="preserve"> - £25k slippage. The GLA grant agreement was signed in March 2023, therefore the funding originally profiled in 2022-</w:t>
      </w:r>
      <w:r w:rsidRPr="00B66A78">
        <w:rPr>
          <w:rFonts w:cs="Arial"/>
          <w:szCs w:val="24"/>
        </w:rPr>
        <w:t>23 for parks &amp; open spaces will be slipped to 2023-24 to deliver activities.</w:t>
      </w:r>
    </w:p>
    <w:p w14:paraId="533620BD" w14:textId="77777777" w:rsidR="00516573" w:rsidRPr="00B66A78" w:rsidRDefault="00516573" w:rsidP="00516573">
      <w:pPr>
        <w:pStyle w:val="ListParagraph"/>
        <w:tabs>
          <w:tab w:val="left" w:pos="1134"/>
        </w:tabs>
        <w:ind w:left="1134"/>
        <w:jc w:val="both"/>
        <w:rPr>
          <w:rFonts w:cs="Arial"/>
          <w:szCs w:val="24"/>
        </w:rPr>
      </w:pPr>
    </w:p>
    <w:p w14:paraId="4CE66FA2" w14:textId="412E4C37" w:rsidR="007A4D31" w:rsidRPr="00B66A78" w:rsidRDefault="002000B9" w:rsidP="00AF06B3">
      <w:pPr>
        <w:pStyle w:val="ListParagraph"/>
        <w:numPr>
          <w:ilvl w:val="0"/>
          <w:numId w:val="2"/>
        </w:numPr>
        <w:tabs>
          <w:tab w:val="left" w:pos="851"/>
        </w:tabs>
        <w:ind w:left="567" w:hanging="567"/>
        <w:jc w:val="both"/>
        <w:rPr>
          <w:rFonts w:cs="Arial"/>
          <w:szCs w:val="24"/>
        </w:rPr>
      </w:pPr>
      <w:r w:rsidRPr="00B66A78">
        <w:rPr>
          <w:rFonts w:cs="Arial"/>
          <w:bCs/>
          <w:szCs w:val="24"/>
        </w:rPr>
        <w:t>Unless stated otherwise, the slippage has no implications on the revenue budget.</w:t>
      </w:r>
      <w:bookmarkStart w:id="6" w:name="_Hlk103930597"/>
    </w:p>
    <w:p w14:paraId="20AB0C58" w14:textId="77777777" w:rsidR="006A7467" w:rsidRPr="00B66A78" w:rsidRDefault="006A7467" w:rsidP="001B1846">
      <w:pPr>
        <w:tabs>
          <w:tab w:val="left" w:pos="851"/>
        </w:tabs>
        <w:jc w:val="both"/>
        <w:rPr>
          <w:rFonts w:cs="Arial"/>
          <w:szCs w:val="24"/>
        </w:rPr>
      </w:pPr>
    </w:p>
    <w:p w14:paraId="63CC026F" w14:textId="6678C9CE" w:rsidR="001B1846" w:rsidRPr="00E81C10" w:rsidRDefault="00385E43" w:rsidP="001B1846">
      <w:pPr>
        <w:pStyle w:val="ListParagraph"/>
        <w:tabs>
          <w:tab w:val="left" w:pos="851"/>
        </w:tabs>
        <w:ind w:left="567"/>
        <w:jc w:val="both"/>
        <w:rPr>
          <w:rFonts w:cs="Arial"/>
          <w:b/>
          <w:bCs/>
          <w:szCs w:val="24"/>
        </w:rPr>
      </w:pPr>
      <w:r w:rsidRPr="00E81C10">
        <w:rPr>
          <w:rFonts w:cs="Arial"/>
          <w:b/>
          <w:bCs/>
          <w:szCs w:val="24"/>
        </w:rPr>
        <w:t>Regeneration &amp; Development</w:t>
      </w:r>
    </w:p>
    <w:p w14:paraId="650C691E" w14:textId="24863BB6" w:rsidR="001B1846" w:rsidRPr="00E81C10" w:rsidRDefault="001B1846" w:rsidP="001B1846">
      <w:pPr>
        <w:tabs>
          <w:tab w:val="left" w:pos="851"/>
        </w:tabs>
        <w:jc w:val="both"/>
        <w:rPr>
          <w:rFonts w:cs="Arial"/>
          <w:szCs w:val="24"/>
        </w:rPr>
      </w:pPr>
    </w:p>
    <w:p w14:paraId="64558726" w14:textId="0500A666" w:rsidR="001B1846" w:rsidRPr="00E81C10" w:rsidRDefault="001B1846" w:rsidP="00AF06B3">
      <w:pPr>
        <w:pStyle w:val="ListParagraph"/>
        <w:numPr>
          <w:ilvl w:val="0"/>
          <w:numId w:val="2"/>
        </w:numPr>
        <w:tabs>
          <w:tab w:val="left" w:pos="851"/>
        </w:tabs>
        <w:ind w:left="567" w:hanging="567"/>
        <w:jc w:val="both"/>
        <w:rPr>
          <w:rFonts w:cs="Arial"/>
          <w:szCs w:val="24"/>
        </w:rPr>
      </w:pPr>
      <w:r w:rsidRPr="00E81C10">
        <w:rPr>
          <w:rFonts w:cs="Arial"/>
          <w:bCs/>
          <w:szCs w:val="24"/>
        </w:rPr>
        <w:t xml:space="preserve">The </w:t>
      </w:r>
      <w:r w:rsidR="00B66A78" w:rsidRPr="00E81C10">
        <w:rPr>
          <w:rFonts w:cs="Arial"/>
          <w:bCs/>
          <w:szCs w:val="24"/>
        </w:rPr>
        <w:t>final outturn is</w:t>
      </w:r>
      <w:r w:rsidRPr="00E81C10">
        <w:rPr>
          <w:rFonts w:cs="Arial"/>
          <w:bCs/>
          <w:szCs w:val="24"/>
        </w:rPr>
        <w:t xml:space="preserve"> </w:t>
      </w:r>
      <w:proofErr w:type="gramStart"/>
      <w:r w:rsidR="00516573" w:rsidRPr="00E81C10">
        <w:rPr>
          <w:rFonts w:cs="Arial"/>
          <w:bCs/>
          <w:szCs w:val="24"/>
        </w:rPr>
        <w:t>spend</w:t>
      </w:r>
      <w:proofErr w:type="gramEnd"/>
      <w:r w:rsidR="00B66A78" w:rsidRPr="00E81C10">
        <w:rPr>
          <w:rFonts w:cs="Arial"/>
          <w:bCs/>
          <w:szCs w:val="24"/>
        </w:rPr>
        <w:t xml:space="preserve"> of</w:t>
      </w:r>
      <w:r w:rsidR="00516573" w:rsidRPr="00E81C10">
        <w:rPr>
          <w:rFonts w:cs="Arial"/>
          <w:bCs/>
          <w:szCs w:val="24"/>
        </w:rPr>
        <w:t xml:space="preserve"> £</w:t>
      </w:r>
      <w:r w:rsidR="00B66A78" w:rsidRPr="00E81C10">
        <w:rPr>
          <w:rFonts w:cs="Arial"/>
          <w:bCs/>
          <w:szCs w:val="24"/>
        </w:rPr>
        <w:t>2.255</w:t>
      </w:r>
      <w:r w:rsidR="00385E43" w:rsidRPr="00E81C10">
        <w:rPr>
          <w:rFonts w:cs="Arial"/>
          <w:bCs/>
          <w:szCs w:val="24"/>
        </w:rPr>
        <w:t>m</w:t>
      </w:r>
      <w:r w:rsidR="00516573" w:rsidRPr="00E81C10">
        <w:rPr>
          <w:rFonts w:cs="Arial"/>
          <w:bCs/>
          <w:szCs w:val="24"/>
        </w:rPr>
        <w:t xml:space="preserve"> against a budget of £</w:t>
      </w:r>
      <w:r w:rsidR="00B66A78" w:rsidRPr="00E81C10">
        <w:rPr>
          <w:rFonts w:cs="Arial"/>
          <w:bCs/>
          <w:szCs w:val="24"/>
        </w:rPr>
        <w:t>17.588m which represents 13% of the capital budget</w:t>
      </w:r>
      <w:r w:rsidR="00516573" w:rsidRPr="00E81C10">
        <w:rPr>
          <w:rFonts w:cs="Arial"/>
          <w:bCs/>
          <w:szCs w:val="24"/>
        </w:rPr>
        <w:t>.</w:t>
      </w:r>
      <w:r w:rsidR="00385E43" w:rsidRPr="00E81C10">
        <w:rPr>
          <w:rFonts w:cs="Arial"/>
          <w:bCs/>
          <w:szCs w:val="24"/>
        </w:rPr>
        <w:t xml:space="preserve"> </w:t>
      </w:r>
      <w:r w:rsidR="00E81C10" w:rsidRPr="00E81C10">
        <w:rPr>
          <w:rFonts w:cs="Arial"/>
          <w:bCs/>
          <w:szCs w:val="24"/>
        </w:rPr>
        <w:t>The</w:t>
      </w:r>
      <w:r w:rsidR="00B66A78" w:rsidRPr="00E81C10">
        <w:rPr>
          <w:rFonts w:cs="Arial"/>
          <w:bCs/>
          <w:szCs w:val="24"/>
        </w:rPr>
        <w:t xml:space="preserve"> variance of </w:t>
      </w:r>
      <w:r w:rsidR="00E81C10" w:rsidRPr="00E81C10">
        <w:rPr>
          <w:rFonts w:cs="Arial"/>
          <w:bCs/>
          <w:szCs w:val="24"/>
        </w:rPr>
        <w:t xml:space="preserve">£15.333m relates to </w:t>
      </w:r>
      <w:r w:rsidR="00E81C10" w:rsidRPr="00E81C10">
        <w:rPr>
          <w:rFonts w:cs="Arial"/>
          <w:bCs/>
          <w:szCs w:val="24"/>
        </w:rPr>
        <w:lastRenderedPageBreak/>
        <w:t>£15.039m slippage which is listed below. The underspend of £294k largely relates to NCIL funded projects.</w:t>
      </w:r>
    </w:p>
    <w:p w14:paraId="4A719B31" w14:textId="77777777" w:rsidR="00385E43" w:rsidRPr="00E81C10" w:rsidRDefault="00385E43" w:rsidP="00385E43">
      <w:pPr>
        <w:pStyle w:val="ListParagraph"/>
        <w:tabs>
          <w:tab w:val="left" w:pos="1134"/>
        </w:tabs>
        <w:ind w:left="1134"/>
        <w:jc w:val="both"/>
        <w:rPr>
          <w:rFonts w:cs="Arial"/>
          <w:szCs w:val="24"/>
        </w:rPr>
      </w:pPr>
    </w:p>
    <w:p w14:paraId="5DB2D5DA" w14:textId="77B0670F" w:rsidR="00E81C10" w:rsidRPr="00E81C10" w:rsidRDefault="00E81C10" w:rsidP="00385E43">
      <w:pPr>
        <w:pStyle w:val="ListParagraph"/>
        <w:numPr>
          <w:ilvl w:val="1"/>
          <w:numId w:val="2"/>
        </w:numPr>
        <w:tabs>
          <w:tab w:val="left" w:pos="1134"/>
        </w:tabs>
        <w:ind w:left="1134" w:hanging="567"/>
        <w:jc w:val="both"/>
        <w:rPr>
          <w:rFonts w:cs="Arial"/>
          <w:szCs w:val="24"/>
        </w:rPr>
      </w:pPr>
      <w:r w:rsidRPr="00E81C10">
        <w:rPr>
          <w:rFonts w:cs="Arial"/>
          <w:szCs w:val="24"/>
        </w:rPr>
        <w:t>Accommodation Strategy - £529k slippage. Works are ongoing to provide ancillary space following the Civic Centre closure</w:t>
      </w:r>
    </w:p>
    <w:p w14:paraId="43A30F0A" w14:textId="77777777" w:rsidR="00E81C10" w:rsidRPr="00E81C10" w:rsidRDefault="00E81C10" w:rsidP="00E81C10">
      <w:pPr>
        <w:pStyle w:val="ListParagraph"/>
        <w:tabs>
          <w:tab w:val="left" w:pos="1134"/>
        </w:tabs>
        <w:ind w:left="1134"/>
        <w:jc w:val="both"/>
        <w:rPr>
          <w:rFonts w:cs="Arial"/>
          <w:color w:val="FF0000"/>
          <w:szCs w:val="24"/>
        </w:rPr>
      </w:pPr>
    </w:p>
    <w:p w14:paraId="4CEF68FE" w14:textId="17FD221A" w:rsidR="00385E43" w:rsidRPr="00E81C10" w:rsidRDefault="00385E43" w:rsidP="00385E43">
      <w:pPr>
        <w:pStyle w:val="ListParagraph"/>
        <w:numPr>
          <w:ilvl w:val="1"/>
          <w:numId w:val="2"/>
        </w:numPr>
        <w:tabs>
          <w:tab w:val="left" w:pos="1134"/>
        </w:tabs>
        <w:ind w:left="1134" w:hanging="567"/>
        <w:jc w:val="both"/>
        <w:rPr>
          <w:rFonts w:cs="Arial"/>
          <w:szCs w:val="24"/>
        </w:rPr>
      </w:pPr>
      <w:r w:rsidRPr="00E81C10">
        <w:rPr>
          <w:rFonts w:cs="Arial"/>
          <w:b/>
          <w:bCs/>
          <w:szCs w:val="24"/>
        </w:rPr>
        <w:t>Investment in 3 core sites</w:t>
      </w:r>
      <w:r w:rsidR="00E81C10" w:rsidRPr="00E81C10">
        <w:rPr>
          <w:rFonts w:cs="Arial"/>
          <w:szCs w:val="24"/>
        </w:rPr>
        <w:t xml:space="preserve"> - £10.198m slippage</w:t>
      </w:r>
      <w:r w:rsidR="00E81C10" w:rsidRPr="00E81C10">
        <w:rPr>
          <w:rFonts w:cs="Arial"/>
          <w:b/>
          <w:bCs/>
          <w:szCs w:val="24"/>
        </w:rPr>
        <w:t xml:space="preserve"> </w:t>
      </w:r>
      <w:r w:rsidR="00E81C10" w:rsidRPr="00E81C10">
        <w:rPr>
          <w:rFonts w:cs="Arial"/>
          <w:szCs w:val="24"/>
        </w:rPr>
        <w:t xml:space="preserve">and </w:t>
      </w:r>
      <w:r w:rsidR="00E81C10" w:rsidRPr="00E81C10">
        <w:rPr>
          <w:rFonts w:cs="Arial"/>
          <w:b/>
          <w:bCs/>
          <w:szCs w:val="24"/>
        </w:rPr>
        <w:t>Harrow New Civic</w:t>
      </w:r>
      <w:r w:rsidRPr="00E81C10">
        <w:rPr>
          <w:rFonts w:cs="Arial"/>
          <w:szCs w:val="24"/>
        </w:rPr>
        <w:t xml:space="preserve"> - £</w:t>
      </w:r>
      <w:r w:rsidR="00E81C10" w:rsidRPr="00E81C10">
        <w:rPr>
          <w:rFonts w:cs="Arial"/>
          <w:szCs w:val="24"/>
        </w:rPr>
        <w:t>2.070</w:t>
      </w:r>
      <w:r w:rsidRPr="00E81C10">
        <w:rPr>
          <w:rFonts w:cs="Arial"/>
          <w:szCs w:val="24"/>
        </w:rPr>
        <w:t xml:space="preserve">m slippage. </w:t>
      </w:r>
      <w:r w:rsidR="00E81C10" w:rsidRPr="00E81C10">
        <w:rPr>
          <w:rFonts w:cs="Arial"/>
          <w:szCs w:val="24"/>
        </w:rPr>
        <w:t>Out of the 3 core sites funding, £9.905m has been set aside for Grange Farm redevelopment Phase 2 (units for private sale) as detailed in the HSDP Review &amp; Progress report presented to Cabinet in November 2022. The remaining funding (including £1.915m in 2023-24) will be used to fund the design &amp; planning stage of Phase 3.</w:t>
      </w:r>
    </w:p>
    <w:p w14:paraId="65280439" w14:textId="77777777" w:rsidR="00516573" w:rsidRPr="00E81C10" w:rsidRDefault="00516573" w:rsidP="00516573">
      <w:pPr>
        <w:pStyle w:val="ListParagraph"/>
        <w:tabs>
          <w:tab w:val="left" w:pos="851"/>
        </w:tabs>
        <w:ind w:left="567"/>
        <w:jc w:val="both"/>
        <w:rPr>
          <w:rFonts w:cs="Arial"/>
          <w:szCs w:val="24"/>
        </w:rPr>
      </w:pPr>
    </w:p>
    <w:p w14:paraId="7D811A9D" w14:textId="6CA5B379" w:rsidR="00516573" w:rsidRPr="00E81C10" w:rsidRDefault="00516573" w:rsidP="00516573">
      <w:pPr>
        <w:pStyle w:val="ListParagraph"/>
        <w:numPr>
          <w:ilvl w:val="1"/>
          <w:numId w:val="2"/>
        </w:numPr>
        <w:tabs>
          <w:tab w:val="left" w:pos="1134"/>
        </w:tabs>
        <w:ind w:left="1134" w:hanging="567"/>
        <w:jc w:val="both"/>
        <w:rPr>
          <w:rFonts w:cs="Arial"/>
          <w:szCs w:val="24"/>
        </w:rPr>
      </w:pPr>
      <w:r w:rsidRPr="00E81C10">
        <w:rPr>
          <w:rFonts w:cs="Arial"/>
          <w:b/>
          <w:szCs w:val="24"/>
        </w:rPr>
        <w:t>Neighbourhood CIL -</w:t>
      </w:r>
      <w:r w:rsidR="00385E43" w:rsidRPr="00E81C10">
        <w:rPr>
          <w:rFonts w:cs="Arial"/>
          <w:b/>
          <w:szCs w:val="24"/>
        </w:rPr>
        <w:t xml:space="preserve"> </w:t>
      </w:r>
      <w:r w:rsidR="00385E43" w:rsidRPr="00E81C10">
        <w:rPr>
          <w:rFonts w:cs="Arial"/>
          <w:bCs/>
          <w:szCs w:val="24"/>
        </w:rPr>
        <w:t>£</w:t>
      </w:r>
      <w:r w:rsidR="00E81C10" w:rsidRPr="00E81C10">
        <w:rPr>
          <w:rFonts w:cs="Arial"/>
          <w:bCs/>
          <w:szCs w:val="24"/>
        </w:rPr>
        <w:t>466</w:t>
      </w:r>
      <w:r w:rsidR="00385E43" w:rsidRPr="00E81C10">
        <w:rPr>
          <w:rFonts w:cs="Arial"/>
          <w:bCs/>
          <w:szCs w:val="24"/>
        </w:rPr>
        <w:t>k slippage</w:t>
      </w:r>
      <w:r w:rsidR="00E81C10" w:rsidRPr="00E81C10">
        <w:rPr>
          <w:rFonts w:cs="Arial"/>
          <w:bCs/>
          <w:szCs w:val="24"/>
        </w:rPr>
        <w:t>. The delivery of approved projects in various wards in 2022-23 will continue into 2023-24. Following a review on NCIL during 2022-23, some projects were completed with a surplus budget and some projects were withdrawn. The budget underspend of £254k has been returns to NCIL post before establishing the starting balance of each ward under new ward boundaries. This is reflected as an underspend in the capital programme.</w:t>
      </w:r>
    </w:p>
    <w:p w14:paraId="745AFCD4" w14:textId="77777777" w:rsidR="00385E43" w:rsidRPr="00E81C10" w:rsidRDefault="00385E43" w:rsidP="00385E43">
      <w:pPr>
        <w:pStyle w:val="ListParagraph"/>
        <w:rPr>
          <w:rFonts w:cs="Arial"/>
          <w:szCs w:val="24"/>
        </w:rPr>
      </w:pPr>
    </w:p>
    <w:p w14:paraId="7259A6A5" w14:textId="2B5A6A1C" w:rsidR="00385E43" w:rsidRPr="00E81C10" w:rsidRDefault="00385E43" w:rsidP="00516573">
      <w:pPr>
        <w:pStyle w:val="ListParagraph"/>
        <w:numPr>
          <w:ilvl w:val="1"/>
          <w:numId w:val="2"/>
        </w:numPr>
        <w:tabs>
          <w:tab w:val="left" w:pos="1134"/>
        </w:tabs>
        <w:ind w:left="1134" w:hanging="567"/>
        <w:jc w:val="both"/>
        <w:rPr>
          <w:rFonts w:cs="Arial"/>
          <w:szCs w:val="24"/>
        </w:rPr>
      </w:pPr>
      <w:r w:rsidRPr="00E81C10">
        <w:rPr>
          <w:rFonts w:cs="Arial"/>
          <w:b/>
          <w:bCs/>
          <w:szCs w:val="24"/>
        </w:rPr>
        <w:t>High Priority Planned Maintenance</w:t>
      </w:r>
      <w:r w:rsidRPr="00E81C10">
        <w:rPr>
          <w:rFonts w:cs="Arial"/>
          <w:szCs w:val="24"/>
        </w:rPr>
        <w:t xml:space="preserve"> - £1.3</w:t>
      </w:r>
      <w:r w:rsidR="00E81C10" w:rsidRPr="00E81C10">
        <w:rPr>
          <w:rFonts w:cs="Arial"/>
          <w:szCs w:val="24"/>
        </w:rPr>
        <w:t>12</w:t>
      </w:r>
      <w:r w:rsidRPr="00E81C10">
        <w:rPr>
          <w:rFonts w:cs="Arial"/>
          <w:szCs w:val="24"/>
        </w:rPr>
        <w:t xml:space="preserve">m slippage. </w:t>
      </w:r>
      <w:r w:rsidR="00E81C10" w:rsidRPr="00E81C10">
        <w:rPr>
          <w:rFonts w:cs="Arial"/>
          <w:szCs w:val="24"/>
        </w:rPr>
        <w:t xml:space="preserve">The project at </w:t>
      </w:r>
      <w:proofErr w:type="spellStart"/>
      <w:r w:rsidR="00E81C10" w:rsidRPr="00E81C10">
        <w:rPr>
          <w:rFonts w:cs="Arial"/>
          <w:szCs w:val="24"/>
        </w:rPr>
        <w:t>Sancroft</w:t>
      </w:r>
      <w:proofErr w:type="spellEnd"/>
      <w:r w:rsidR="00E81C10" w:rsidRPr="00E81C10">
        <w:rPr>
          <w:rFonts w:cs="Arial"/>
          <w:szCs w:val="24"/>
        </w:rPr>
        <w:t xml:space="preserve"> £171k was delayed as it is being revisited. The remaining budget in the programme is slipped to 2023-24 to fund planned building improvement works that will be prioritised, pending the completion of Strategic Asset Management Plan (SAMP).</w:t>
      </w:r>
    </w:p>
    <w:p w14:paraId="39BF9842" w14:textId="77777777" w:rsidR="00385E43" w:rsidRPr="006160A2" w:rsidRDefault="00385E43" w:rsidP="00385E43">
      <w:pPr>
        <w:pStyle w:val="ListParagraph"/>
        <w:rPr>
          <w:rFonts w:cs="Arial"/>
          <w:color w:val="FF0000"/>
          <w:szCs w:val="24"/>
        </w:rPr>
      </w:pPr>
    </w:p>
    <w:p w14:paraId="342CE7A6" w14:textId="2BE3100F" w:rsidR="00385E43" w:rsidRDefault="00385E43" w:rsidP="00516573">
      <w:pPr>
        <w:pStyle w:val="ListParagraph"/>
        <w:numPr>
          <w:ilvl w:val="1"/>
          <w:numId w:val="2"/>
        </w:numPr>
        <w:tabs>
          <w:tab w:val="left" w:pos="1134"/>
        </w:tabs>
        <w:ind w:left="1134" w:hanging="567"/>
        <w:jc w:val="both"/>
        <w:rPr>
          <w:rFonts w:cs="Arial"/>
          <w:szCs w:val="24"/>
        </w:rPr>
      </w:pPr>
      <w:r w:rsidRPr="00E81C10">
        <w:rPr>
          <w:rFonts w:cs="Arial"/>
          <w:b/>
          <w:bCs/>
          <w:szCs w:val="24"/>
        </w:rPr>
        <w:t>Bannister Café</w:t>
      </w:r>
      <w:r w:rsidRPr="00E81C10">
        <w:rPr>
          <w:rFonts w:cs="Arial"/>
          <w:szCs w:val="24"/>
        </w:rPr>
        <w:t xml:space="preserve"> - £257k slippage. </w:t>
      </w:r>
      <w:r w:rsidR="00E81C10" w:rsidRPr="00E81C10">
        <w:rPr>
          <w:rFonts w:cs="Arial"/>
          <w:szCs w:val="24"/>
        </w:rPr>
        <w:t>Although works were resumed following the delay caused by the pandemic, these were paused due to additional costs claimed by the contractor</w:t>
      </w:r>
      <w:r w:rsidRPr="00E81C10">
        <w:rPr>
          <w:rFonts w:cs="Arial"/>
          <w:szCs w:val="24"/>
        </w:rPr>
        <w:t>.</w:t>
      </w:r>
      <w:r w:rsidR="00E81C10" w:rsidRPr="00E81C10">
        <w:rPr>
          <w:rFonts w:cs="Arial"/>
          <w:szCs w:val="24"/>
        </w:rPr>
        <w:t xml:space="preserve"> Options are being explored to progress this project.</w:t>
      </w:r>
    </w:p>
    <w:p w14:paraId="350591B2" w14:textId="77777777" w:rsidR="00E81C10" w:rsidRPr="00E81C10" w:rsidRDefault="00E81C10" w:rsidP="00E81C10">
      <w:pPr>
        <w:pStyle w:val="ListParagraph"/>
        <w:rPr>
          <w:rFonts w:cs="Arial"/>
          <w:szCs w:val="24"/>
        </w:rPr>
      </w:pPr>
    </w:p>
    <w:p w14:paraId="40EBE6E4" w14:textId="2E670349" w:rsidR="00E81C10" w:rsidRPr="00E81C10" w:rsidRDefault="00E81C10" w:rsidP="00516573">
      <w:pPr>
        <w:pStyle w:val="ListParagraph"/>
        <w:numPr>
          <w:ilvl w:val="1"/>
          <w:numId w:val="2"/>
        </w:numPr>
        <w:tabs>
          <w:tab w:val="left" w:pos="1134"/>
        </w:tabs>
        <w:ind w:left="1134" w:hanging="567"/>
        <w:jc w:val="both"/>
        <w:rPr>
          <w:rFonts w:cs="Arial"/>
          <w:szCs w:val="24"/>
        </w:rPr>
      </w:pPr>
      <w:proofErr w:type="spellStart"/>
      <w:r w:rsidRPr="00E81C10">
        <w:rPr>
          <w:rFonts w:cs="Arial"/>
          <w:b/>
          <w:bCs/>
          <w:szCs w:val="24"/>
        </w:rPr>
        <w:t>Waxwell</w:t>
      </w:r>
      <w:proofErr w:type="spellEnd"/>
      <w:r w:rsidRPr="00E81C10">
        <w:rPr>
          <w:rFonts w:cs="Arial"/>
          <w:b/>
          <w:bCs/>
          <w:szCs w:val="24"/>
        </w:rPr>
        <w:t xml:space="preserve"> Lane</w:t>
      </w:r>
      <w:r>
        <w:rPr>
          <w:rFonts w:cs="Arial"/>
          <w:szCs w:val="24"/>
        </w:rPr>
        <w:t xml:space="preserve"> - £207k slippage. This slippage will be used to complete the </w:t>
      </w:r>
      <w:r w:rsidRPr="00E81C10">
        <w:rPr>
          <w:rFonts w:cs="Arial"/>
          <w:szCs w:val="24"/>
        </w:rPr>
        <w:t xml:space="preserve">existing commitments in 2023-24 </w:t>
      </w:r>
      <w:r w:rsidR="00E42991" w:rsidRPr="00E81C10">
        <w:rPr>
          <w:rFonts w:cs="Arial"/>
          <w:szCs w:val="24"/>
        </w:rPr>
        <w:t>before</w:t>
      </w:r>
      <w:r w:rsidRPr="00E81C10">
        <w:rPr>
          <w:rFonts w:cs="Arial"/>
          <w:szCs w:val="24"/>
        </w:rPr>
        <w:t xml:space="preserve"> the sales progress in the Summer.</w:t>
      </w:r>
    </w:p>
    <w:p w14:paraId="3E149B42" w14:textId="77777777" w:rsidR="00385E43" w:rsidRPr="00E81C10" w:rsidRDefault="00385E43" w:rsidP="00385E43">
      <w:pPr>
        <w:pStyle w:val="ListParagraph"/>
        <w:rPr>
          <w:rFonts w:cs="Arial"/>
          <w:szCs w:val="24"/>
        </w:rPr>
      </w:pPr>
    </w:p>
    <w:p w14:paraId="123EDC08" w14:textId="77777777" w:rsidR="002048AB" w:rsidRPr="000A48E8" w:rsidRDefault="002048AB" w:rsidP="002048AB">
      <w:pPr>
        <w:pStyle w:val="ListParagraph"/>
        <w:numPr>
          <w:ilvl w:val="0"/>
          <w:numId w:val="2"/>
        </w:numPr>
        <w:tabs>
          <w:tab w:val="left" w:pos="851"/>
        </w:tabs>
        <w:ind w:left="567" w:hanging="567"/>
        <w:jc w:val="both"/>
        <w:rPr>
          <w:rFonts w:cs="Arial"/>
          <w:szCs w:val="24"/>
        </w:rPr>
      </w:pPr>
      <w:r w:rsidRPr="000A48E8">
        <w:rPr>
          <w:rFonts w:cs="Arial"/>
          <w:bCs/>
          <w:szCs w:val="24"/>
        </w:rPr>
        <w:t>Unless stated otherwise, the slippage has no implications on the revenue budget.</w:t>
      </w:r>
    </w:p>
    <w:p w14:paraId="4B9A869A" w14:textId="022AA84D" w:rsidR="007A4D31" w:rsidRPr="000A48E8" w:rsidRDefault="007A4D31" w:rsidP="007A4D31">
      <w:pPr>
        <w:pStyle w:val="ListParagraph"/>
        <w:tabs>
          <w:tab w:val="left" w:pos="851"/>
        </w:tabs>
        <w:ind w:left="567"/>
        <w:jc w:val="both"/>
        <w:rPr>
          <w:rFonts w:cs="Arial"/>
          <w:szCs w:val="24"/>
        </w:rPr>
      </w:pPr>
    </w:p>
    <w:bookmarkEnd w:id="6"/>
    <w:p w14:paraId="42E5E7BE" w14:textId="77777777" w:rsidR="007A4D31" w:rsidRPr="000A48E8" w:rsidRDefault="002000B9" w:rsidP="007A4D31">
      <w:pPr>
        <w:pStyle w:val="ListParagraph"/>
        <w:tabs>
          <w:tab w:val="left" w:pos="851"/>
        </w:tabs>
        <w:ind w:left="567"/>
        <w:jc w:val="both"/>
        <w:rPr>
          <w:rFonts w:cs="Arial"/>
          <w:szCs w:val="24"/>
        </w:rPr>
      </w:pPr>
      <w:r w:rsidRPr="000A48E8">
        <w:rPr>
          <w:b/>
          <w:bCs/>
        </w:rPr>
        <w:t>Housing General Fund</w:t>
      </w:r>
    </w:p>
    <w:p w14:paraId="08F8407D" w14:textId="77777777" w:rsidR="007A4D31" w:rsidRPr="000A48E8" w:rsidRDefault="007A4D31" w:rsidP="007A4D31">
      <w:pPr>
        <w:pStyle w:val="ListParagraph"/>
        <w:rPr>
          <w:rFonts w:cs="Arial"/>
          <w:bCs/>
          <w:szCs w:val="24"/>
        </w:rPr>
      </w:pPr>
    </w:p>
    <w:p w14:paraId="2F368499" w14:textId="77777777" w:rsidR="000A48E8" w:rsidRPr="000A48E8" w:rsidRDefault="000A48E8" w:rsidP="000A48E8">
      <w:pPr>
        <w:pStyle w:val="ListParagraph"/>
        <w:numPr>
          <w:ilvl w:val="1"/>
          <w:numId w:val="16"/>
        </w:numPr>
        <w:tabs>
          <w:tab w:val="left" w:pos="851"/>
        </w:tabs>
        <w:ind w:left="567" w:hanging="567"/>
        <w:jc w:val="both"/>
        <w:rPr>
          <w:rFonts w:cs="Arial"/>
          <w:szCs w:val="24"/>
        </w:rPr>
      </w:pPr>
      <w:r w:rsidRPr="000A48E8">
        <w:rPr>
          <w:rFonts w:cs="Arial"/>
          <w:bCs/>
          <w:szCs w:val="24"/>
        </w:rPr>
        <w:t>The final outturn is</w:t>
      </w:r>
      <w:r w:rsidR="00D2455E" w:rsidRPr="000A48E8">
        <w:rPr>
          <w:rFonts w:cs="Arial"/>
          <w:bCs/>
          <w:szCs w:val="24"/>
        </w:rPr>
        <w:t xml:space="preserve"> </w:t>
      </w:r>
      <w:proofErr w:type="gramStart"/>
      <w:r w:rsidR="00D2455E" w:rsidRPr="000A48E8">
        <w:rPr>
          <w:rFonts w:cs="Arial"/>
          <w:bCs/>
          <w:szCs w:val="24"/>
        </w:rPr>
        <w:t>spend</w:t>
      </w:r>
      <w:proofErr w:type="gramEnd"/>
      <w:r w:rsidR="00D2455E" w:rsidRPr="000A48E8">
        <w:rPr>
          <w:rFonts w:cs="Arial"/>
          <w:bCs/>
          <w:szCs w:val="24"/>
        </w:rPr>
        <w:t xml:space="preserve"> </w:t>
      </w:r>
      <w:r w:rsidRPr="000A48E8">
        <w:rPr>
          <w:rFonts w:cs="Arial"/>
          <w:bCs/>
          <w:szCs w:val="24"/>
        </w:rPr>
        <w:t xml:space="preserve">of </w:t>
      </w:r>
      <w:r w:rsidR="00656D22" w:rsidRPr="000A48E8">
        <w:rPr>
          <w:rFonts w:cs="Arial"/>
          <w:bCs/>
          <w:szCs w:val="24"/>
        </w:rPr>
        <w:t>£</w:t>
      </w:r>
      <w:r w:rsidRPr="000A48E8">
        <w:rPr>
          <w:rFonts w:cs="Arial"/>
          <w:bCs/>
          <w:szCs w:val="24"/>
        </w:rPr>
        <w:t>5.457m</w:t>
      </w:r>
      <w:r w:rsidR="00656D22" w:rsidRPr="000A48E8">
        <w:rPr>
          <w:rFonts w:cs="Arial"/>
          <w:bCs/>
          <w:szCs w:val="24"/>
        </w:rPr>
        <w:t xml:space="preserve"> against a budget of </w:t>
      </w:r>
      <w:r w:rsidR="00D2455E" w:rsidRPr="000A48E8">
        <w:rPr>
          <w:rFonts w:cs="Arial"/>
          <w:bCs/>
          <w:szCs w:val="24"/>
        </w:rPr>
        <w:t>£10.42</w:t>
      </w:r>
      <w:r w:rsidR="002048AB" w:rsidRPr="000A48E8">
        <w:rPr>
          <w:rFonts w:cs="Arial"/>
          <w:bCs/>
          <w:szCs w:val="24"/>
        </w:rPr>
        <w:t>9</w:t>
      </w:r>
      <w:r w:rsidR="00D2455E" w:rsidRPr="000A48E8">
        <w:rPr>
          <w:rFonts w:cs="Arial"/>
          <w:bCs/>
          <w:szCs w:val="24"/>
        </w:rPr>
        <w:t>m</w:t>
      </w:r>
      <w:r w:rsidRPr="000A48E8">
        <w:rPr>
          <w:rFonts w:cs="Arial"/>
          <w:bCs/>
          <w:szCs w:val="24"/>
        </w:rPr>
        <w:t xml:space="preserve"> which represents 52% of the budget</w:t>
      </w:r>
      <w:r w:rsidR="002048AB" w:rsidRPr="000A48E8">
        <w:rPr>
          <w:rFonts w:cs="Arial"/>
          <w:bCs/>
          <w:szCs w:val="24"/>
        </w:rPr>
        <w:t>.</w:t>
      </w:r>
      <w:r w:rsidRPr="000A48E8">
        <w:rPr>
          <w:rFonts w:cs="Arial"/>
          <w:bCs/>
          <w:szCs w:val="24"/>
        </w:rPr>
        <w:t xml:space="preserve"> The variance of £4.972m is made up of £4.096m slippage which is listed below and £876k underspend.</w:t>
      </w:r>
      <w:r w:rsidR="002048AB" w:rsidRPr="000A48E8">
        <w:rPr>
          <w:rFonts w:cs="Arial"/>
          <w:bCs/>
          <w:szCs w:val="24"/>
        </w:rPr>
        <w:t xml:space="preserve"> </w:t>
      </w:r>
    </w:p>
    <w:p w14:paraId="7EB8F59C" w14:textId="77777777" w:rsidR="000A48E8" w:rsidRPr="000A48E8" w:rsidRDefault="000A48E8" w:rsidP="000A48E8">
      <w:pPr>
        <w:pStyle w:val="ListParagraph"/>
        <w:tabs>
          <w:tab w:val="left" w:pos="851"/>
        </w:tabs>
        <w:ind w:left="567"/>
        <w:jc w:val="both"/>
        <w:rPr>
          <w:rFonts w:cs="Arial"/>
          <w:color w:val="FF0000"/>
          <w:szCs w:val="24"/>
        </w:rPr>
      </w:pPr>
    </w:p>
    <w:p w14:paraId="6344640F" w14:textId="73F2CFC7" w:rsidR="00656D22" w:rsidRPr="000A48E8" w:rsidRDefault="00656D22" w:rsidP="000A48E8">
      <w:pPr>
        <w:pStyle w:val="ListParagraph"/>
        <w:numPr>
          <w:ilvl w:val="3"/>
          <w:numId w:val="16"/>
        </w:numPr>
        <w:ind w:left="1276" w:hanging="709"/>
        <w:jc w:val="both"/>
        <w:rPr>
          <w:rFonts w:cs="Arial"/>
          <w:szCs w:val="24"/>
        </w:rPr>
      </w:pPr>
      <w:r w:rsidRPr="000A48E8">
        <w:rPr>
          <w:rFonts w:cs="Arial"/>
          <w:b/>
          <w:bCs/>
          <w:szCs w:val="24"/>
        </w:rPr>
        <w:t>Empty Properties Grant</w:t>
      </w:r>
      <w:r w:rsidRPr="000A48E8">
        <w:rPr>
          <w:rFonts w:cs="Arial"/>
          <w:szCs w:val="24"/>
        </w:rPr>
        <w:t xml:space="preserve"> - £</w:t>
      </w:r>
      <w:r w:rsidR="000A48E8" w:rsidRPr="000A48E8">
        <w:rPr>
          <w:rFonts w:cs="Arial"/>
          <w:szCs w:val="24"/>
        </w:rPr>
        <w:t>7</w:t>
      </w:r>
      <w:r w:rsidRPr="000A48E8">
        <w:rPr>
          <w:rFonts w:cs="Arial"/>
          <w:szCs w:val="24"/>
        </w:rPr>
        <w:t xml:space="preserve">0k underspend. </w:t>
      </w:r>
      <w:r w:rsidR="000A48E8" w:rsidRPr="000A48E8">
        <w:rPr>
          <w:rFonts w:cs="Arial"/>
          <w:szCs w:val="24"/>
        </w:rPr>
        <w:t xml:space="preserve">The buy to let market has become less viable for many landlords due to taxation and high interest rates. This has led to shortage in private sector rental properties. Market rent levels have increased significantly compared to LHA rates making </w:t>
      </w:r>
      <w:r w:rsidR="000A48E8" w:rsidRPr="000A48E8">
        <w:rPr>
          <w:rFonts w:cs="Arial"/>
          <w:szCs w:val="24"/>
        </w:rPr>
        <w:lastRenderedPageBreak/>
        <w:t>Harrow less competitive. This has resulted in reduced uptake for the EPG scheme.</w:t>
      </w:r>
    </w:p>
    <w:p w14:paraId="2E61115B" w14:textId="77777777" w:rsidR="000A48E8" w:rsidRPr="000A48E8" w:rsidRDefault="000A48E8" w:rsidP="000A48E8">
      <w:pPr>
        <w:pStyle w:val="ListParagraph"/>
        <w:ind w:left="1276"/>
        <w:jc w:val="both"/>
        <w:rPr>
          <w:rFonts w:cs="Arial"/>
          <w:szCs w:val="24"/>
        </w:rPr>
      </w:pPr>
    </w:p>
    <w:p w14:paraId="068CEA8A" w14:textId="334C3E2C" w:rsidR="000A48E8" w:rsidRDefault="000A48E8" w:rsidP="000A48E8">
      <w:pPr>
        <w:pStyle w:val="ListParagraph"/>
        <w:numPr>
          <w:ilvl w:val="3"/>
          <w:numId w:val="16"/>
        </w:numPr>
        <w:ind w:left="1276" w:hanging="709"/>
        <w:jc w:val="both"/>
        <w:rPr>
          <w:rFonts w:cs="Arial"/>
          <w:szCs w:val="24"/>
        </w:rPr>
      </w:pPr>
      <w:r w:rsidRPr="000A48E8">
        <w:rPr>
          <w:rFonts w:cs="Arial"/>
          <w:b/>
          <w:bCs/>
          <w:szCs w:val="24"/>
        </w:rPr>
        <w:t>Property Acquisition Programme 2022-23</w:t>
      </w:r>
      <w:r w:rsidRPr="000A48E8">
        <w:rPr>
          <w:rFonts w:cs="Arial"/>
          <w:szCs w:val="24"/>
        </w:rPr>
        <w:t xml:space="preserve"> - £2.441m slippage and £734k underspend. The slippage relates to the acquisition of the remaining 7 properties within the </w:t>
      </w:r>
      <w:r w:rsidR="00E42991" w:rsidRPr="000A48E8">
        <w:rPr>
          <w:rFonts w:cs="Arial"/>
          <w:szCs w:val="24"/>
        </w:rPr>
        <w:t>programme</w:t>
      </w:r>
      <w:r w:rsidRPr="000A48E8">
        <w:rPr>
          <w:rFonts w:cs="Arial"/>
          <w:szCs w:val="24"/>
        </w:rPr>
        <w:t xml:space="preserve"> which will conclude in 2023-24. The underspend will be released back into the capital programme.</w:t>
      </w:r>
    </w:p>
    <w:p w14:paraId="4425A1FC" w14:textId="77777777" w:rsidR="000A48E8" w:rsidRPr="000A48E8" w:rsidRDefault="000A48E8" w:rsidP="000A48E8">
      <w:pPr>
        <w:pStyle w:val="ListParagraph"/>
        <w:rPr>
          <w:rFonts w:cs="Arial"/>
          <w:szCs w:val="24"/>
        </w:rPr>
      </w:pPr>
    </w:p>
    <w:p w14:paraId="63475F73" w14:textId="007B39F0" w:rsidR="000A48E8" w:rsidRPr="000A48E8" w:rsidRDefault="000A48E8" w:rsidP="000A48E8">
      <w:pPr>
        <w:pStyle w:val="ListParagraph"/>
        <w:numPr>
          <w:ilvl w:val="3"/>
          <w:numId w:val="16"/>
        </w:numPr>
        <w:ind w:left="1276" w:hanging="709"/>
        <w:jc w:val="both"/>
        <w:rPr>
          <w:rFonts w:cs="Arial"/>
          <w:szCs w:val="24"/>
        </w:rPr>
      </w:pPr>
      <w:r w:rsidRPr="000A48E8">
        <w:rPr>
          <w:rFonts w:cs="Arial"/>
          <w:b/>
          <w:bCs/>
          <w:szCs w:val="24"/>
        </w:rPr>
        <w:t>Property Acquisition Programme 2021-22</w:t>
      </w:r>
      <w:r>
        <w:rPr>
          <w:rFonts w:cs="Arial"/>
          <w:szCs w:val="24"/>
        </w:rPr>
        <w:t xml:space="preserve"> - £72k underspend as project </w:t>
      </w:r>
      <w:r w:rsidRPr="000A48E8">
        <w:rPr>
          <w:rFonts w:cs="Arial"/>
          <w:szCs w:val="24"/>
        </w:rPr>
        <w:t>has been completed.</w:t>
      </w:r>
    </w:p>
    <w:p w14:paraId="2BDFB98F" w14:textId="77777777" w:rsidR="000A48E8" w:rsidRPr="000A48E8" w:rsidRDefault="000A48E8" w:rsidP="000A48E8">
      <w:pPr>
        <w:pStyle w:val="ListParagraph"/>
        <w:ind w:left="1276"/>
        <w:jc w:val="both"/>
        <w:rPr>
          <w:rFonts w:cs="Arial"/>
          <w:szCs w:val="24"/>
        </w:rPr>
      </w:pPr>
    </w:p>
    <w:p w14:paraId="6D0D478E" w14:textId="26DBC8DE" w:rsidR="00237FEA" w:rsidRPr="000A48E8" w:rsidRDefault="00D2455E" w:rsidP="000A48E8">
      <w:pPr>
        <w:pStyle w:val="ListParagraph"/>
        <w:numPr>
          <w:ilvl w:val="3"/>
          <w:numId w:val="16"/>
        </w:numPr>
        <w:ind w:left="1276" w:hanging="709"/>
        <w:jc w:val="both"/>
        <w:rPr>
          <w:rFonts w:cs="Arial"/>
          <w:szCs w:val="24"/>
        </w:rPr>
      </w:pPr>
      <w:r w:rsidRPr="000A48E8">
        <w:rPr>
          <w:rFonts w:cs="Arial"/>
          <w:b/>
          <w:szCs w:val="24"/>
        </w:rPr>
        <w:t xml:space="preserve">Disabled Facilities Grant </w:t>
      </w:r>
      <w:r w:rsidRPr="000A48E8">
        <w:rPr>
          <w:rFonts w:cs="Arial"/>
          <w:bCs/>
          <w:szCs w:val="24"/>
        </w:rPr>
        <w:t xml:space="preserve">(DFG) </w:t>
      </w:r>
      <w:r w:rsidR="000A48E8" w:rsidRPr="000A48E8">
        <w:rPr>
          <w:rFonts w:cs="Arial"/>
          <w:bCs/>
          <w:szCs w:val="24"/>
        </w:rPr>
        <w:t xml:space="preserve">- £1.655m slippage. This relates to external grant to be slipped to 2023-24 to cover contractual </w:t>
      </w:r>
      <w:r w:rsidR="00E42991" w:rsidRPr="000A48E8">
        <w:rPr>
          <w:rFonts w:cs="Arial"/>
          <w:bCs/>
          <w:szCs w:val="24"/>
        </w:rPr>
        <w:t>commitments</w:t>
      </w:r>
      <w:r w:rsidR="000A48E8" w:rsidRPr="000A48E8">
        <w:rPr>
          <w:rFonts w:cs="Arial"/>
          <w:bCs/>
          <w:szCs w:val="24"/>
        </w:rPr>
        <w:t xml:space="preserve"> of £154k that are being undertaken and will be completed in 2023-24 and the remainder of the grant will be added to next year’s programme. The service is currently undergoing peer review to establish best practice and efficiencies and effective ways of allocating the DFG budget allocation.</w:t>
      </w:r>
    </w:p>
    <w:p w14:paraId="03660E30" w14:textId="77777777" w:rsidR="000A48E8" w:rsidRPr="000A48E8" w:rsidRDefault="000A48E8" w:rsidP="000A48E8">
      <w:pPr>
        <w:pStyle w:val="ListParagraph"/>
        <w:tabs>
          <w:tab w:val="left" w:pos="851"/>
        </w:tabs>
        <w:ind w:left="567"/>
        <w:jc w:val="both"/>
        <w:rPr>
          <w:rFonts w:cs="Arial"/>
          <w:szCs w:val="24"/>
        </w:rPr>
      </w:pPr>
    </w:p>
    <w:p w14:paraId="2C39AE5B" w14:textId="3BE2B5D2" w:rsidR="000A48E8" w:rsidRPr="000A48E8" w:rsidRDefault="000A48E8" w:rsidP="000A48E8">
      <w:pPr>
        <w:pStyle w:val="ListParagraph"/>
        <w:numPr>
          <w:ilvl w:val="1"/>
          <w:numId w:val="16"/>
        </w:numPr>
        <w:tabs>
          <w:tab w:val="left" w:pos="851"/>
        </w:tabs>
        <w:ind w:left="567" w:hanging="567"/>
        <w:jc w:val="both"/>
        <w:rPr>
          <w:rFonts w:cs="Arial"/>
          <w:szCs w:val="24"/>
        </w:rPr>
      </w:pPr>
      <w:r w:rsidRPr="000A48E8">
        <w:rPr>
          <w:rFonts w:cs="Arial"/>
          <w:bCs/>
          <w:szCs w:val="24"/>
        </w:rPr>
        <w:t>Unless stated otherwise, the slippage has no implications on the revenue budget.</w:t>
      </w:r>
    </w:p>
    <w:p w14:paraId="6F496F16" w14:textId="0F996ABD" w:rsidR="006001C7" w:rsidRDefault="006001C7" w:rsidP="00237FEA">
      <w:pPr>
        <w:pStyle w:val="ListParagraph"/>
        <w:tabs>
          <w:tab w:val="left" w:pos="851"/>
        </w:tabs>
        <w:ind w:left="567"/>
        <w:jc w:val="both"/>
        <w:rPr>
          <w:rFonts w:cs="Arial"/>
          <w:b/>
          <w:bCs/>
          <w:color w:val="FF0000"/>
          <w:szCs w:val="24"/>
        </w:rPr>
      </w:pPr>
    </w:p>
    <w:p w14:paraId="013928EF" w14:textId="290AC7D5" w:rsidR="00237FEA" w:rsidRPr="003C77B4" w:rsidRDefault="007235F3" w:rsidP="00237FEA">
      <w:pPr>
        <w:pStyle w:val="ListParagraph"/>
        <w:tabs>
          <w:tab w:val="left" w:pos="851"/>
        </w:tabs>
        <w:ind w:left="567"/>
        <w:jc w:val="both"/>
        <w:rPr>
          <w:rFonts w:cs="Arial"/>
          <w:b/>
          <w:bCs/>
          <w:szCs w:val="24"/>
        </w:rPr>
      </w:pPr>
      <w:r>
        <w:rPr>
          <w:rFonts w:cs="Arial"/>
          <w:b/>
          <w:bCs/>
          <w:szCs w:val="24"/>
        </w:rPr>
        <w:t>H</w:t>
      </w:r>
      <w:r w:rsidR="00237FEA" w:rsidRPr="003C77B4">
        <w:rPr>
          <w:rFonts w:cs="Arial"/>
          <w:b/>
          <w:bCs/>
          <w:szCs w:val="24"/>
        </w:rPr>
        <w:t>ousing Revenue Account (HRA)</w:t>
      </w:r>
    </w:p>
    <w:p w14:paraId="317F0F58" w14:textId="77777777" w:rsidR="00237FEA" w:rsidRPr="003C77B4" w:rsidRDefault="00237FEA" w:rsidP="00237FEA">
      <w:pPr>
        <w:pStyle w:val="ListParagraph"/>
        <w:rPr>
          <w:rFonts w:cs="Arial"/>
          <w:bCs/>
          <w:szCs w:val="24"/>
        </w:rPr>
      </w:pPr>
    </w:p>
    <w:p w14:paraId="7ACB403C" w14:textId="7ED0805E" w:rsidR="00237FEA" w:rsidRPr="003C77B4" w:rsidRDefault="000A48E8" w:rsidP="00237FEA">
      <w:pPr>
        <w:pStyle w:val="ListParagraph"/>
        <w:numPr>
          <w:ilvl w:val="1"/>
          <w:numId w:val="16"/>
        </w:numPr>
        <w:tabs>
          <w:tab w:val="left" w:pos="851"/>
        </w:tabs>
        <w:ind w:left="567" w:hanging="567"/>
        <w:jc w:val="both"/>
        <w:rPr>
          <w:rFonts w:cs="Arial"/>
          <w:szCs w:val="24"/>
        </w:rPr>
      </w:pPr>
      <w:r w:rsidRPr="003C77B4">
        <w:rPr>
          <w:rFonts w:cs="Arial"/>
          <w:bCs/>
          <w:szCs w:val="24"/>
        </w:rPr>
        <w:t xml:space="preserve">The final outturn is </w:t>
      </w:r>
      <w:proofErr w:type="gramStart"/>
      <w:r w:rsidRPr="003C77B4">
        <w:rPr>
          <w:rFonts w:cs="Arial"/>
          <w:bCs/>
          <w:szCs w:val="24"/>
        </w:rPr>
        <w:t>spend</w:t>
      </w:r>
      <w:proofErr w:type="gramEnd"/>
      <w:r w:rsidRPr="003C77B4">
        <w:rPr>
          <w:rFonts w:cs="Arial"/>
          <w:bCs/>
          <w:szCs w:val="24"/>
        </w:rPr>
        <w:t xml:space="preserve"> of £14.989m against a budget of £52.854m which represents</w:t>
      </w:r>
      <w:r w:rsidR="003C77B4" w:rsidRPr="003C77B4">
        <w:rPr>
          <w:rFonts w:cs="Arial"/>
          <w:bCs/>
          <w:szCs w:val="24"/>
        </w:rPr>
        <w:t xml:space="preserve"> 28% of the capital budget. </w:t>
      </w:r>
      <w:r w:rsidRPr="003C77B4">
        <w:rPr>
          <w:rFonts w:cs="Arial"/>
          <w:bCs/>
          <w:szCs w:val="24"/>
        </w:rPr>
        <w:t xml:space="preserve"> </w:t>
      </w:r>
      <w:r w:rsidR="003C77B4" w:rsidRPr="003C77B4">
        <w:rPr>
          <w:rFonts w:cs="Arial"/>
          <w:bCs/>
          <w:szCs w:val="24"/>
        </w:rPr>
        <w:t xml:space="preserve">The variance of £37.867m is made up of  £24.358m slippage which is listed below and underspend of £13.509m for schemes which have either been completed or where budget is no longer required and is being removed from the capital programme. </w:t>
      </w:r>
    </w:p>
    <w:p w14:paraId="626C32D5" w14:textId="77777777" w:rsidR="00237FEA" w:rsidRPr="006E5DA6" w:rsidRDefault="00237FEA" w:rsidP="00237FEA">
      <w:pPr>
        <w:pStyle w:val="ListParagraph"/>
        <w:rPr>
          <w:rFonts w:cs="Arial"/>
          <w:bCs/>
          <w:szCs w:val="24"/>
        </w:rPr>
      </w:pPr>
    </w:p>
    <w:p w14:paraId="0EB95F1B" w14:textId="77777777" w:rsidR="006E5DA6" w:rsidRPr="006E5DA6" w:rsidRDefault="00237FEA" w:rsidP="006E5DA6">
      <w:pPr>
        <w:pStyle w:val="ListParagraph"/>
        <w:numPr>
          <w:ilvl w:val="1"/>
          <w:numId w:val="16"/>
        </w:numPr>
        <w:tabs>
          <w:tab w:val="left" w:pos="851"/>
        </w:tabs>
        <w:ind w:left="567" w:hanging="567"/>
        <w:jc w:val="both"/>
        <w:rPr>
          <w:rFonts w:cs="Arial"/>
          <w:szCs w:val="24"/>
        </w:rPr>
      </w:pPr>
      <w:r w:rsidRPr="006E5DA6">
        <w:rPr>
          <w:rFonts w:cs="Arial"/>
          <w:bCs/>
          <w:szCs w:val="24"/>
        </w:rPr>
        <w:t>The slippage of £</w:t>
      </w:r>
      <w:r w:rsidR="002048AB" w:rsidRPr="006E5DA6">
        <w:rPr>
          <w:rFonts w:cs="Arial"/>
          <w:bCs/>
          <w:szCs w:val="24"/>
        </w:rPr>
        <w:t>7.099m</w:t>
      </w:r>
      <w:r w:rsidRPr="006E5DA6">
        <w:rPr>
          <w:rFonts w:cs="Arial"/>
          <w:bCs/>
          <w:szCs w:val="24"/>
        </w:rPr>
        <w:t xml:space="preserve"> relates </w:t>
      </w:r>
      <w:r w:rsidR="00656D22" w:rsidRPr="006E5DA6">
        <w:rPr>
          <w:rFonts w:cs="Arial"/>
          <w:bCs/>
          <w:szCs w:val="24"/>
        </w:rPr>
        <w:t>the following schemes</w:t>
      </w:r>
    </w:p>
    <w:p w14:paraId="7882444E" w14:textId="77777777" w:rsidR="006E5DA6" w:rsidRPr="006E5DA6" w:rsidRDefault="006E5DA6" w:rsidP="006E5DA6">
      <w:pPr>
        <w:pStyle w:val="ListParagraph"/>
        <w:rPr>
          <w:rFonts w:cs="Arial"/>
          <w:b/>
          <w:bCs/>
          <w:szCs w:val="24"/>
        </w:rPr>
      </w:pPr>
    </w:p>
    <w:p w14:paraId="75991567" w14:textId="2A515F15" w:rsidR="006E5DA6" w:rsidRPr="006E5DA6" w:rsidRDefault="006E5DA6" w:rsidP="006E5DA6">
      <w:pPr>
        <w:pStyle w:val="ListParagraph"/>
        <w:numPr>
          <w:ilvl w:val="1"/>
          <w:numId w:val="16"/>
        </w:numPr>
        <w:tabs>
          <w:tab w:val="left" w:pos="851"/>
        </w:tabs>
        <w:ind w:left="567" w:hanging="567"/>
        <w:jc w:val="both"/>
        <w:rPr>
          <w:rFonts w:cs="Arial"/>
          <w:szCs w:val="24"/>
        </w:rPr>
      </w:pPr>
      <w:r w:rsidRPr="006E5DA6">
        <w:rPr>
          <w:rFonts w:cs="Arial"/>
          <w:b/>
          <w:bCs/>
          <w:szCs w:val="24"/>
        </w:rPr>
        <w:t>Planned Investment Programme -</w:t>
      </w:r>
      <w:r w:rsidRPr="006E5DA6">
        <w:rPr>
          <w:rFonts w:cs="Arial"/>
          <w:szCs w:val="24"/>
        </w:rPr>
        <w:t xml:space="preserve"> £6.202m slippage of which significant slippage of more than £100k relates as follows:</w:t>
      </w:r>
    </w:p>
    <w:p w14:paraId="4A4FE1DF" w14:textId="77777777" w:rsidR="006E5DA6" w:rsidRPr="006E5DA6" w:rsidRDefault="006E5DA6" w:rsidP="00237FEA">
      <w:pPr>
        <w:pStyle w:val="ListParagraph"/>
        <w:rPr>
          <w:rFonts w:cs="Arial"/>
          <w:bCs/>
          <w:szCs w:val="24"/>
        </w:rPr>
      </w:pPr>
    </w:p>
    <w:p w14:paraId="20FBD87F" w14:textId="3F7172E1" w:rsidR="00163D19" w:rsidRPr="006E5DA6" w:rsidRDefault="00163D19" w:rsidP="00237FEA">
      <w:pPr>
        <w:pStyle w:val="ListParagraph"/>
        <w:numPr>
          <w:ilvl w:val="3"/>
          <w:numId w:val="25"/>
        </w:numPr>
        <w:tabs>
          <w:tab w:val="left" w:pos="1134"/>
        </w:tabs>
        <w:ind w:left="1134" w:hanging="567"/>
        <w:jc w:val="both"/>
        <w:rPr>
          <w:rFonts w:cs="Arial"/>
          <w:szCs w:val="24"/>
        </w:rPr>
      </w:pPr>
      <w:r w:rsidRPr="006E5DA6">
        <w:rPr>
          <w:rFonts w:cs="Arial"/>
          <w:b/>
          <w:bCs/>
          <w:szCs w:val="24"/>
        </w:rPr>
        <w:t>Homes Safe Three</w:t>
      </w:r>
      <w:r w:rsidRPr="006E5DA6">
        <w:rPr>
          <w:rFonts w:cs="Arial"/>
          <w:szCs w:val="24"/>
        </w:rPr>
        <w:t xml:space="preserve"> - £1.</w:t>
      </w:r>
      <w:r w:rsidR="006E5DA6" w:rsidRPr="006E5DA6">
        <w:rPr>
          <w:rFonts w:cs="Arial"/>
          <w:szCs w:val="24"/>
        </w:rPr>
        <w:t>825</w:t>
      </w:r>
      <w:r w:rsidRPr="006E5DA6">
        <w:rPr>
          <w:rFonts w:cs="Arial"/>
          <w:szCs w:val="24"/>
        </w:rPr>
        <w:t>m slippage due to delays in procurement and supply of materials that will mean that the remainder of this programme will be delivered in 2023-2</w:t>
      </w:r>
      <w:r w:rsidR="006E5DA6" w:rsidRPr="006E5DA6">
        <w:rPr>
          <w:rFonts w:cs="Arial"/>
          <w:szCs w:val="24"/>
        </w:rPr>
        <w:t>4</w:t>
      </w:r>
      <w:r w:rsidRPr="006E5DA6">
        <w:rPr>
          <w:rFonts w:cs="Arial"/>
          <w:szCs w:val="24"/>
        </w:rPr>
        <w:t>.</w:t>
      </w:r>
    </w:p>
    <w:p w14:paraId="7C1B552E" w14:textId="77777777" w:rsidR="00163D19" w:rsidRPr="006160A2" w:rsidRDefault="00163D19" w:rsidP="00163D19">
      <w:pPr>
        <w:pStyle w:val="ListParagraph"/>
        <w:tabs>
          <w:tab w:val="left" w:pos="1134"/>
        </w:tabs>
        <w:ind w:left="1134"/>
        <w:jc w:val="both"/>
        <w:rPr>
          <w:rFonts w:cs="Arial"/>
          <w:color w:val="FF0000"/>
          <w:szCs w:val="24"/>
        </w:rPr>
      </w:pPr>
    </w:p>
    <w:p w14:paraId="2112A90F" w14:textId="16ED82F9" w:rsidR="00163D19" w:rsidRDefault="006E5DA6" w:rsidP="00237FEA">
      <w:pPr>
        <w:pStyle w:val="ListParagraph"/>
        <w:numPr>
          <w:ilvl w:val="3"/>
          <w:numId w:val="25"/>
        </w:numPr>
        <w:tabs>
          <w:tab w:val="left" w:pos="1134"/>
        </w:tabs>
        <w:ind w:left="1134" w:hanging="567"/>
        <w:jc w:val="both"/>
        <w:rPr>
          <w:rFonts w:cs="Arial"/>
          <w:szCs w:val="24"/>
        </w:rPr>
      </w:pPr>
      <w:r w:rsidRPr="006E5DA6">
        <w:rPr>
          <w:rFonts w:cs="Arial"/>
          <w:b/>
          <w:bCs/>
          <w:szCs w:val="24"/>
        </w:rPr>
        <w:t xml:space="preserve">Installation of </w:t>
      </w:r>
      <w:r w:rsidR="00163D19" w:rsidRPr="006E5DA6">
        <w:rPr>
          <w:rFonts w:cs="Arial"/>
          <w:b/>
          <w:bCs/>
          <w:szCs w:val="24"/>
        </w:rPr>
        <w:t>Heat Pump Technology</w:t>
      </w:r>
      <w:r w:rsidR="00163D19" w:rsidRPr="006E5DA6">
        <w:rPr>
          <w:rFonts w:cs="Arial"/>
          <w:szCs w:val="24"/>
        </w:rPr>
        <w:t xml:space="preserve"> - £</w:t>
      </w:r>
      <w:r w:rsidRPr="006E5DA6">
        <w:rPr>
          <w:rFonts w:cs="Arial"/>
          <w:szCs w:val="24"/>
        </w:rPr>
        <w:t>1.190m</w:t>
      </w:r>
      <w:r w:rsidR="00163D19" w:rsidRPr="006E5DA6">
        <w:rPr>
          <w:rFonts w:cs="Arial"/>
          <w:szCs w:val="24"/>
        </w:rPr>
        <w:t xml:space="preserve"> slippage </w:t>
      </w:r>
      <w:r w:rsidRPr="006E5DA6">
        <w:rPr>
          <w:rFonts w:cs="Arial"/>
          <w:szCs w:val="24"/>
        </w:rPr>
        <w:t xml:space="preserve">due to the original project on three sites being delayed as </w:t>
      </w:r>
      <w:r w:rsidR="00163D19" w:rsidRPr="006E5DA6">
        <w:rPr>
          <w:rFonts w:cs="Arial"/>
          <w:szCs w:val="24"/>
        </w:rPr>
        <w:t xml:space="preserve">due to issues with legionella on one site </w:t>
      </w:r>
      <w:r w:rsidRPr="006E5DA6">
        <w:rPr>
          <w:rFonts w:cs="Arial"/>
          <w:szCs w:val="24"/>
        </w:rPr>
        <w:t xml:space="preserve">which has meant that the project will </w:t>
      </w:r>
      <w:r w:rsidR="00E42991" w:rsidRPr="006E5DA6">
        <w:rPr>
          <w:rFonts w:cs="Arial"/>
          <w:szCs w:val="24"/>
        </w:rPr>
        <w:t>now</w:t>
      </w:r>
      <w:r w:rsidRPr="006E5DA6">
        <w:rPr>
          <w:rFonts w:cs="Arial"/>
          <w:szCs w:val="24"/>
        </w:rPr>
        <w:t xml:space="preserve"> be delivered in 2023-24 on two sites</w:t>
      </w:r>
      <w:r w:rsidR="00163D19" w:rsidRPr="006E5DA6">
        <w:rPr>
          <w:rFonts w:cs="Arial"/>
          <w:szCs w:val="24"/>
        </w:rPr>
        <w:t>.</w:t>
      </w:r>
    </w:p>
    <w:p w14:paraId="772121FB" w14:textId="77777777" w:rsidR="006E5DA6" w:rsidRPr="006E5DA6" w:rsidRDefault="006E5DA6" w:rsidP="006E5DA6">
      <w:pPr>
        <w:pStyle w:val="ListParagraph"/>
        <w:rPr>
          <w:rFonts w:cs="Arial"/>
          <w:szCs w:val="24"/>
        </w:rPr>
      </w:pPr>
    </w:p>
    <w:p w14:paraId="4E4639B8" w14:textId="42C0EEC9" w:rsidR="006E5DA6" w:rsidRPr="006E5DA6" w:rsidRDefault="006E5DA6" w:rsidP="00237FEA">
      <w:pPr>
        <w:pStyle w:val="ListParagraph"/>
        <w:numPr>
          <w:ilvl w:val="3"/>
          <w:numId w:val="25"/>
        </w:numPr>
        <w:tabs>
          <w:tab w:val="left" w:pos="1134"/>
        </w:tabs>
        <w:ind w:left="1134" w:hanging="567"/>
        <w:jc w:val="both"/>
        <w:rPr>
          <w:rFonts w:cs="Arial"/>
          <w:szCs w:val="24"/>
        </w:rPr>
      </w:pPr>
      <w:r w:rsidRPr="006E5DA6">
        <w:rPr>
          <w:rFonts w:cs="Arial"/>
          <w:b/>
          <w:bCs/>
          <w:szCs w:val="24"/>
        </w:rPr>
        <w:t>Retrofit for energy</w:t>
      </w:r>
      <w:r>
        <w:rPr>
          <w:rFonts w:cs="Arial"/>
          <w:szCs w:val="24"/>
        </w:rPr>
        <w:t xml:space="preserve"> - £1.391m slippage. This relates to external funding secured from the Social Housing Decarbonisation Fund in 2022-23 for 2023-24 and 2024-25. There is a requirement that Harrow provides match funds. AT the time that the 2023-24 budget was set, the details of the bid were still being finalised and provisional match funding of £1m was set aside for each of the 3 years of the MTFS. Following a review of the </w:t>
      </w:r>
      <w:r>
        <w:rPr>
          <w:rFonts w:cs="Arial"/>
          <w:szCs w:val="24"/>
        </w:rPr>
        <w:lastRenderedPageBreak/>
        <w:t xml:space="preserve">budgets, it was proposed to </w:t>
      </w:r>
      <w:r w:rsidR="00E42991">
        <w:rPr>
          <w:rFonts w:cs="Arial"/>
          <w:szCs w:val="24"/>
        </w:rPr>
        <w:t>utilise</w:t>
      </w:r>
      <w:r>
        <w:rPr>
          <w:rFonts w:cs="Arial"/>
          <w:szCs w:val="24"/>
        </w:rPr>
        <w:t xml:space="preserve"> £1m from the uncommitted budget within planned investment and carry this forward into 2023-24 to top up the Retrofit for energy budget in 2023-24 to ensure the Harrow match funding is in place to maximise the external grant received.</w:t>
      </w:r>
    </w:p>
    <w:p w14:paraId="7F9D6344" w14:textId="77777777" w:rsidR="00163D19" w:rsidRPr="006E5DA6" w:rsidRDefault="00163D19" w:rsidP="00163D19">
      <w:pPr>
        <w:pStyle w:val="ListParagraph"/>
        <w:tabs>
          <w:tab w:val="left" w:pos="1134"/>
        </w:tabs>
        <w:ind w:left="1134"/>
        <w:jc w:val="both"/>
        <w:rPr>
          <w:rFonts w:cs="Arial"/>
          <w:szCs w:val="24"/>
        </w:rPr>
      </w:pPr>
    </w:p>
    <w:p w14:paraId="43A8D2FF" w14:textId="2BB3B035" w:rsidR="00163D19" w:rsidRPr="002177CF" w:rsidRDefault="00163D19" w:rsidP="00163D19">
      <w:pPr>
        <w:pStyle w:val="ListParagraph"/>
        <w:numPr>
          <w:ilvl w:val="3"/>
          <w:numId w:val="25"/>
        </w:numPr>
        <w:tabs>
          <w:tab w:val="left" w:pos="1134"/>
        </w:tabs>
        <w:ind w:left="1134" w:hanging="567"/>
        <w:jc w:val="both"/>
        <w:rPr>
          <w:rFonts w:cs="Arial"/>
          <w:szCs w:val="24"/>
        </w:rPr>
      </w:pPr>
      <w:r w:rsidRPr="006E5DA6">
        <w:rPr>
          <w:rFonts w:cs="Arial"/>
          <w:b/>
          <w:szCs w:val="24"/>
        </w:rPr>
        <w:t>Two Storey Fire Doors</w:t>
      </w:r>
      <w:r w:rsidRPr="006E5DA6">
        <w:rPr>
          <w:rFonts w:cs="Arial"/>
          <w:bCs/>
          <w:szCs w:val="24"/>
        </w:rPr>
        <w:t xml:space="preserve"> - £3</w:t>
      </w:r>
      <w:r w:rsidR="006E5DA6" w:rsidRPr="006E5DA6">
        <w:rPr>
          <w:rFonts w:cs="Arial"/>
          <w:bCs/>
          <w:szCs w:val="24"/>
        </w:rPr>
        <w:t>9</w:t>
      </w:r>
      <w:r w:rsidRPr="006E5DA6">
        <w:rPr>
          <w:rFonts w:cs="Arial"/>
          <w:bCs/>
          <w:szCs w:val="24"/>
        </w:rPr>
        <w:t>1k slippage. Delays in procurement means that most of this programme will be delivered in 2023-24.</w:t>
      </w:r>
    </w:p>
    <w:p w14:paraId="4EB7510F" w14:textId="77777777" w:rsidR="002177CF" w:rsidRPr="002177CF" w:rsidRDefault="002177CF" w:rsidP="002177CF">
      <w:pPr>
        <w:pStyle w:val="ListParagraph"/>
        <w:rPr>
          <w:rFonts w:cs="Arial"/>
          <w:szCs w:val="24"/>
        </w:rPr>
      </w:pPr>
    </w:p>
    <w:p w14:paraId="277BAD62" w14:textId="5F95ECB6" w:rsidR="002177CF" w:rsidRDefault="002177CF" w:rsidP="00163D19">
      <w:pPr>
        <w:pStyle w:val="ListParagraph"/>
        <w:numPr>
          <w:ilvl w:val="3"/>
          <w:numId w:val="25"/>
        </w:numPr>
        <w:tabs>
          <w:tab w:val="left" w:pos="1134"/>
        </w:tabs>
        <w:ind w:left="1134" w:hanging="567"/>
        <w:jc w:val="both"/>
        <w:rPr>
          <w:rFonts w:cs="Arial"/>
          <w:szCs w:val="24"/>
        </w:rPr>
      </w:pPr>
      <w:r w:rsidRPr="002177CF">
        <w:rPr>
          <w:rFonts w:cs="Arial"/>
          <w:b/>
          <w:bCs/>
          <w:szCs w:val="24"/>
        </w:rPr>
        <w:t>Dickson Fold Land Purchase</w:t>
      </w:r>
      <w:r>
        <w:rPr>
          <w:rFonts w:cs="Arial"/>
          <w:szCs w:val="24"/>
        </w:rPr>
        <w:t xml:space="preserve"> - £342k slippage as an agreement is still toe be reached on a price for acquisition of land for housing properties.</w:t>
      </w:r>
    </w:p>
    <w:p w14:paraId="3E3FACF1" w14:textId="77777777" w:rsidR="002177CF" w:rsidRPr="002177CF" w:rsidRDefault="002177CF" w:rsidP="002177CF">
      <w:pPr>
        <w:pStyle w:val="ListParagraph"/>
        <w:rPr>
          <w:rFonts w:cs="Arial"/>
          <w:szCs w:val="24"/>
        </w:rPr>
      </w:pPr>
    </w:p>
    <w:p w14:paraId="15A6E22E" w14:textId="466FEAB4" w:rsidR="002177CF" w:rsidRDefault="002177CF" w:rsidP="00163D19">
      <w:pPr>
        <w:pStyle w:val="ListParagraph"/>
        <w:numPr>
          <w:ilvl w:val="3"/>
          <w:numId w:val="25"/>
        </w:numPr>
        <w:tabs>
          <w:tab w:val="left" w:pos="1134"/>
        </w:tabs>
        <w:ind w:left="1134" w:hanging="567"/>
        <w:jc w:val="both"/>
        <w:rPr>
          <w:rFonts w:cs="Arial"/>
          <w:szCs w:val="24"/>
        </w:rPr>
      </w:pPr>
      <w:r w:rsidRPr="002177CF">
        <w:rPr>
          <w:rFonts w:cs="Arial"/>
          <w:b/>
          <w:bCs/>
          <w:szCs w:val="24"/>
        </w:rPr>
        <w:t>Emergency Lighting</w:t>
      </w:r>
      <w:r>
        <w:rPr>
          <w:rFonts w:cs="Arial"/>
          <w:szCs w:val="24"/>
        </w:rPr>
        <w:t xml:space="preserve"> - £161k slippage due to delays with contract award</w:t>
      </w:r>
    </w:p>
    <w:p w14:paraId="63DF3CDB" w14:textId="77777777" w:rsidR="002177CF" w:rsidRPr="002177CF" w:rsidRDefault="002177CF" w:rsidP="002177CF">
      <w:pPr>
        <w:pStyle w:val="ListParagraph"/>
        <w:rPr>
          <w:rFonts w:cs="Arial"/>
          <w:szCs w:val="24"/>
        </w:rPr>
      </w:pPr>
    </w:p>
    <w:p w14:paraId="4E8BCA5D" w14:textId="6299FA20" w:rsidR="002177CF" w:rsidRDefault="002177CF" w:rsidP="00163D19">
      <w:pPr>
        <w:pStyle w:val="ListParagraph"/>
        <w:numPr>
          <w:ilvl w:val="3"/>
          <w:numId w:val="25"/>
        </w:numPr>
        <w:tabs>
          <w:tab w:val="left" w:pos="1134"/>
        </w:tabs>
        <w:ind w:left="1134" w:hanging="567"/>
        <w:jc w:val="both"/>
        <w:rPr>
          <w:rFonts w:cs="Arial"/>
          <w:szCs w:val="24"/>
        </w:rPr>
      </w:pPr>
      <w:r w:rsidRPr="002177CF">
        <w:rPr>
          <w:rFonts w:cs="Arial"/>
          <w:b/>
          <w:bCs/>
          <w:szCs w:val="24"/>
        </w:rPr>
        <w:t>Aids and Adaptations</w:t>
      </w:r>
      <w:r>
        <w:rPr>
          <w:rFonts w:cs="Arial"/>
          <w:szCs w:val="24"/>
        </w:rPr>
        <w:t xml:space="preserve"> - £104k slippage due to delays in works</w:t>
      </w:r>
    </w:p>
    <w:p w14:paraId="2F09900F" w14:textId="77777777" w:rsidR="002177CF" w:rsidRPr="002177CF" w:rsidRDefault="002177CF" w:rsidP="002177CF">
      <w:pPr>
        <w:pStyle w:val="ListParagraph"/>
        <w:rPr>
          <w:rFonts w:cs="Arial"/>
          <w:szCs w:val="24"/>
        </w:rPr>
      </w:pPr>
    </w:p>
    <w:p w14:paraId="481D81CE" w14:textId="11F2CBE4" w:rsidR="002177CF" w:rsidRPr="006E5DA6" w:rsidRDefault="002177CF" w:rsidP="00163D19">
      <w:pPr>
        <w:pStyle w:val="ListParagraph"/>
        <w:numPr>
          <w:ilvl w:val="3"/>
          <w:numId w:val="25"/>
        </w:numPr>
        <w:tabs>
          <w:tab w:val="left" w:pos="1134"/>
        </w:tabs>
        <w:ind w:left="1134" w:hanging="567"/>
        <w:jc w:val="both"/>
        <w:rPr>
          <w:rFonts w:cs="Arial"/>
          <w:szCs w:val="24"/>
        </w:rPr>
      </w:pPr>
      <w:r w:rsidRPr="002177CF">
        <w:rPr>
          <w:rFonts w:cs="Arial"/>
          <w:b/>
          <w:bCs/>
          <w:szCs w:val="24"/>
        </w:rPr>
        <w:t xml:space="preserve">Other </w:t>
      </w:r>
      <w:r>
        <w:rPr>
          <w:rFonts w:cs="Arial"/>
          <w:szCs w:val="24"/>
        </w:rPr>
        <w:t xml:space="preserve">- £445k slippage for works that have just completed or completing enabling works prior to </w:t>
      </w:r>
      <w:r w:rsidR="00E42991">
        <w:rPr>
          <w:rFonts w:cs="Arial"/>
          <w:szCs w:val="24"/>
        </w:rPr>
        <w:t>commencement</w:t>
      </w:r>
      <w:r>
        <w:rPr>
          <w:rFonts w:cs="Arial"/>
          <w:szCs w:val="24"/>
        </w:rPr>
        <w:t xml:space="preserve"> of projects in 2023-24</w:t>
      </w:r>
    </w:p>
    <w:p w14:paraId="65E4E08D" w14:textId="77777777" w:rsidR="00163D19" w:rsidRPr="006160A2" w:rsidRDefault="00163D19" w:rsidP="00163D19">
      <w:pPr>
        <w:pStyle w:val="ListParagraph"/>
        <w:tabs>
          <w:tab w:val="left" w:pos="1134"/>
        </w:tabs>
        <w:ind w:left="1134"/>
        <w:jc w:val="both"/>
        <w:rPr>
          <w:rFonts w:cs="Arial"/>
          <w:color w:val="FF0000"/>
          <w:szCs w:val="24"/>
        </w:rPr>
      </w:pPr>
    </w:p>
    <w:p w14:paraId="344AC4C9" w14:textId="12B50AE7" w:rsidR="00163D19" w:rsidRPr="002177CF" w:rsidRDefault="00163D19" w:rsidP="00237FEA">
      <w:pPr>
        <w:pStyle w:val="ListParagraph"/>
        <w:numPr>
          <w:ilvl w:val="3"/>
          <w:numId w:val="25"/>
        </w:numPr>
        <w:tabs>
          <w:tab w:val="left" w:pos="1134"/>
        </w:tabs>
        <w:ind w:left="1134" w:hanging="567"/>
        <w:jc w:val="both"/>
        <w:rPr>
          <w:rFonts w:cs="Arial"/>
          <w:szCs w:val="24"/>
        </w:rPr>
      </w:pPr>
      <w:r w:rsidRPr="002177CF">
        <w:rPr>
          <w:rFonts w:cs="Arial"/>
          <w:b/>
          <w:bCs/>
          <w:szCs w:val="24"/>
        </w:rPr>
        <w:t>Smoke Alarms</w:t>
      </w:r>
      <w:r w:rsidRPr="002177CF">
        <w:rPr>
          <w:rFonts w:cs="Arial"/>
          <w:szCs w:val="24"/>
        </w:rPr>
        <w:t xml:space="preserve"> - £1</w:t>
      </w:r>
      <w:r w:rsidR="002177CF" w:rsidRPr="002177CF">
        <w:rPr>
          <w:rFonts w:cs="Arial"/>
          <w:szCs w:val="24"/>
        </w:rPr>
        <w:t>93</w:t>
      </w:r>
      <w:r w:rsidRPr="002177CF">
        <w:rPr>
          <w:rFonts w:cs="Arial"/>
          <w:szCs w:val="24"/>
        </w:rPr>
        <w:t xml:space="preserve">k slippage due to </w:t>
      </w:r>
      <w:r w:rsidR="002177CF" w:rsidRPr="002177CF">
        <w:rPr>
          <w:rFonts w:cs="Arial"/>
          <w:szCs w:val="24"/>
        </w:rPr>
        <w:t>programme delays</w:t>
      </w:r>
    </w:p>
    <w:p w14:paraId="6E7EA01C" w14:textId="77777777" w:rsidR="00163D19" w:rsidRPr="002177CF" w:rsidRDefault="00163D19" w:rsidP="00163D19">
      <w:pPr>
        <w:pStyle w:val="ListParagraph"/>
        <w:rPr>
          <w:rFonts w:cs="Arial"/>
          <w:szCs w:val="24"/>
        </w:rPr>
      </w:pPr>
    </w:p>
    <w:p w14:paraId="1D30A6E0" w14:textId="2EED45A7" w:rsidR="00163D19" w:rsidRPr="002177CF" w:rsidRDefault="00163D19" w:rsidP="00237FEA">
      <w:pPr>
        <w:pStyle w:val="ListParagraph"/>
        <w:numPr>
          <w:ilvl w:val="3"/>
          <w:numId w:val="25"/>
        </w:numPr>
        <w:tabs>
          <w:tab w:val="left" w:pos="1134"/>
        </w:tabs>
        <w:ind w:left="1134" w:hanging="567"/>
        <w:jc w:val="both"/>
        <w:rPr>
          <w:rFonts w:cs="Arial"/>
          <w:szCs w:val="24"/>
        </w:rPr>
      </w:pPr>
      <w:r w:rsidRPr="002177CF">
        <w:rPr>
          <w:rFonts w:cs="Arial"/>
          <w:b/>
          <w:bCs/>
          <w:szCs w:val="24"/>
        </w:rPr>
        <w:t>Windows &amp; Doors 2022-23</w:t>
      </w:r>
      <w:r w:rsidRPr="002177CF">
        <w:rPr>
          <w:rFonts w:cs="Arial"/>
          <w:szCs w:val="24"/>
        </w:rPr>
        <w:t xml:space="preserve"> - £</w:t>
      </w:r>
      <w:r w:rsidR="002177CF" w:rsidRPr="002177CF">
        <w:rPr>
          <w:rFonts w:cs="Arial"/>
          <w:szCs w:val="24"/>
        </w:rPr>
        <w:t>176</w:t>
      </w:r>
      <w:r w:rsidRPr="002177CF">
        <w:rPr>
          <w:rFonts w:cs="Arial"/>
          <w:szCs w:val="24"/>
        </w:rPr>
        <w:t>k slippage due to asbestos tests</w:t>
      </w:r>
    </w:p>
    <w:p w14:paraId="78358D26" w14:textId="77777777" w:rsidR="00163D19" w:rsidRPr="006160A2" w:rsidRDefault="00163D19" w:rsidP="00163D19">
      <w:pPr>
        <w:pStyle w:val="ListParagraph"/>
        <w:rPr>
          <w:rFonts w:cs="Arial"/>
          <w:color w:val="FF0000"/>
          <w:szCs w:val="24"/>
        </w:rPr>
      </w:pPr>
    </w:p>
    <w:p w14:paraId="7F32DA31" w14:textId="6D2B397F" w:rsidR="002177CF" w:rsidRPr="002177CF" w:rsidRDefault="00163D19" w:rsidP="002177CF">
      <w:pPr>
        <w:pStyle w:val="ListParagraph"/>
        <w:numPr>
          <w:ilvl w:val="3"/>
          <w:numId w:val="25"/>
        </w:numPr>
        <w:tabs>
          <w:tab w:val="left" w:pos="1134"/>
        </w:tabs>
        <w:ind w:left="1134" w:hanging="567"/>
        <w:jc w:val="both"/>
        <w:rPr>
          <w:rFonts w:cs="Arial"/>
          <w:szCs w:val="24"/>
        </w:rPr>
      </w:pPr>
      <w:r w:rsidRPr="006E5DA6">
        <w:rPr>
          <w:rFonts w:cs="Arial"/>
          <w:b/>
          <w:bCs/>
          <w:szCs w:val="24"/>
        </w:rPr>
        <w:t>Roofs</w:t>
      </w:r>
      <w:r w:rsidR="006E5DA6">
        <w:rPr>
          <w:rFonts w:cs="Arial"/>
          <w:b/>
          <w:bCs/>
          <w:szCs w:val="24"/>
        </w:rPr>
        <w:t xml:space="preserve"> on</w:t>
      </w:r>
      <w:r w:rsidRPr="006E5DA6">
        <w:rPr>
          <w:rFonts w:cs="Arial"/>
          <w:b/>
          <w:bCs/>
          <w:szCs w:val="24"/>
        </w:rPr>
        <w:t xml:space="preserve"> Street </w:t>
      </w:r>
      <w:r w:rsidR="002177CF">
        <w:rPr>
          <w:rFonts w:cs="Arial"/>
          <w:b/>
          <w:bCs/>
          <w:szCs w:val="24"/>
        </w:rPr>
        <w:t>Properties</w:t>
      </w:r>
      <w:r w:rsidRPr="006E5DA6">
        <w:rPr>
          <w:rFonts w:cs="Arial"/>
          <w:b/>
          <w:bCs/>
          <w:szCs w:val="24"/>
        </w:rPr>
        <w:t xml:space="preserve"> 2022-23</w:t>
      </w:r>
      <w:r w:rsidRPr="006E5DA6">
        <w:rPr>
          <w:rFonts w:cs="Arial"/>
          <w:szCs w:val="24"/>
        </w:rPr>
        <w:t xml:space="preserve"> - £</w:t>
      </w:r>
      <w:r w:rsidR="006E5DA6" w:rsidRPr="006E5DA6">
        <w:rPr>
          <w:rFonts w:cs="Arial"/>
          <w:szCs w:val="24"/>
        </w:rPr>
        <w:t>375</w:t>
      </w:r>
      <w:r w:rsidRPr="006E5DA6">
        <w:rPr>
          <w:rFonts w:cs="Arial"/>
          <w:szCs w:val="24"/>
        </w:rPr>
        <w:t xml:space="preserve">k slippage due to procurement </w:t>
      </w:r>
      <w:r w:rsidRPr="002177CF">
        <w:rPr>
          <w:rFonts w:cs="Arial"/>
          <w:szCs w:val="24"/>
        </w:rPr>
        <w:t>delays</w:t>
      </w:r>
    </w:p>
    <w:p w14:paraId="10A653C6" w14:textId="77777777" w:rsidR="002177CF" w:rsidRPr="002177CF" w:rsidRDefault="002177CF" w:rsidP="002177CF">
      <w:pPr>
        <w:pStyle w:val="ListParagraph"/>
        <w:tabs>
          <w:tab w:val="left" w:pos="851"/>
        </w:tabs>
        <w:ind w:left="567"/>
        <w:jc w:val="both"/>
        <w:rPr>
          <w:rFonts w:cs="Arial"/>
          <w:szCs w:val="24"/>
        </w:rPr>
      </w:pPr>
    </w:p>
    <w:p w14:paraId="7356F639" w14:textId="4548FB9E" w:rsidR="002177CF" w:rsidRPr="002177CF" w:rsidRDefault="002177CF" w:rsidP="002177CF">
      <w:pPr>
        <w:pStyle w:val="ListParagraph"/>
        <w:numPr>
          <w:ilvl w:val="1"/>
          <w:numId w:val="16"/>
        </w:numPr>
        <w:tabs>
          <w:tab w:val="left" w:pos="851"/>
        </w:tabs>
        <w:ind w:left="567" w:hanging="567"/>
        <w:jc w:val="both"/>
        <w:rPr>
          <w:rFonts w:cs="Arial"/>
          <w:szCs w:val="24"/>
        </w:rPr>
      </w:pPr>
      <w:r w:rsidRPr="002177CF">
        <w:rPr>
          <w:rFonts w:cs="Arial"/>
          <w:b/>
          <w:bCs/>
          <w:szCs w:val="24"/>
        </w:rPr>
        <w:t>Housing IT Schemes</w:t>
      </w:r>
      <w:r w:rsidRPr="002177CF">
        <w:rPr>
          <w:rFonts w:cs="Arial"/>
          <w:szCs w:val="24"/>
        </w:rPr>
        <w:t xml:space="preserve"> - £328k slippage due to reprofiling of expenditure in 2022-23 and 2023-24 to reflect rephasing of the project go-live date.</w:t>
      </w:r>
    </w:p>
    <w:p w14:paraId="1BE9B92A" w14:textId="77777777" w:rsidR="002177CF" w:rsidRPr="002177CF" w:rsidRDefault="002177CF" w:rsidP="002177CF">
      <w:pPr>
        <w:pStyle w:val="ListParagraph"/>
        <w:tabs>
          <w:tab w:val="left" w:pos="851"/>
        </w:tabs>
        <w:ind w:left="567"/>
        <w:jc w:val="both"/>
        <w:rPr>
          <w:rFonts w:cs="Arial"/>
          <w:szCs w:val="24"/>
        </w:rPr>
      </w:pPr>
    </w:p>
    <w:p w14:paraId="0DD81CB3" w14:textId="7CA22A31" w:rsidR="002177CF" w:rsidRPr="002177CF" w:rsidRDefault="002177CF" w:rsidP="002177CF">
      <w:pPr>
        <w:pStyle w:val="ListParagraph"/>
        <w:numPr>
          <w:ilvl w:val="1"/>
          <w:numId w:val="16"/>
        </w:numPr>
        <w:tabs>
          <w:tab w:val="left" w:pos="851"/>
        </w:tabs>
        <w:ind w:left="567" w:hanging="567"/>
        <w:jc w:val="both"/>
        <w:rPr>
          <w:rFonts w:cs="Arial"/>
          <w:szCs w:val="24"/>
        </w:rPr>
      </w:pPr>
      <w:r w:rsidRPr="002177CF">
        <w:rPr>
          <w:rFonts w:cs="Arial"/>
          <w:b/>
          <w:bCs/>
          <w:szCs w:val="24"/>
        </w:rPr>
        <w:t>Grange Farm Phase 1</w:t>
      </w:r>
      <w:r w:rsidRPr="002177CF">
        <w:rPr>
          <w:rFonts w:cs="Arial"/>
          <w:szCs w:val="24"/>
        </w:rPr>
        <w:t xml:space="preserve"> - £2.451m slippage due to completion works being slipped to June 2023</w:t>
      </w:r>
    </w:p>
    <w:p w14:paraId="411CCD81" w14:textId="77777777" w:rsidR="002177CF" w:rsidRPr="002177CF" w:rsidRDefault="002177CF" w:rsidP="002177CF">
      <w:pPr>
        <w:pStyle w:val="ListParagraph"/>
        <w:tabs>
          <w:tab w:val="left" w:pos="851"/>
        </w:tabs>
        <w:ind w:left="567"/>
        <w:jc w:val="both"/>
        <w:rPr>
          <w:rFonts w:cs="Arial"/>
          <w:szCs w:val="24"/>
        </w:rPr>
      </w:pPr>
    </w:p>
    <w:p w14:paraId="00CCCF34" w14:textId="5E02D8DC" w:rsidR="002177CF" w:rsidRDefault="007924BF" w:rsidP="002177CF">
      <w:pPr>
        <w:pStyle w:val="ListParagraph"/>
        <w:numPr>
          <w:ilvl w:val="1"/>
          <w:numId w:val="16"/>
        </w:numPr>
        <w:tabs>
          <w:tab w:val="left" w:pos="851"/>
        </w:tabs>
        <w:ind w:left="567" w:hanging="567"/>
        <w:jc w:val="both"/>
        <w:rPr>
          <w:rFonts w:cs="Arial"/>
          <w:szCs w:val="24"/>
        </w:rPr>
      </w:pPr>
      <w:r w:rsidRPr="002177CF">
        <w:rPr>
          <w:rFonts w:cs="Arial"/>
          <w:b/>
          <w:bCs/>
          <w:szCs w:val="24"/>
        </w:rPr>
        <w:t>Grange Farm Phase 2</w:t>
      </w:r>
      <w:r w:rsidRPr="002177CF">
        <w:rPr>
          <w:rFonts w:cs="Arial"/>
          <w:szCs w:val="24"/>
        </w:rPr>
        <w:t xml:space="preserve"> - </w:t>
      </w:r>
      <w:r w:rsidR="002177CF" w:rsidRPr="002177CF">
        <w:rPr>
          <w:rFonts w:cs="Arial"/>
          <w:szCs w:val="24"/>
        </w:rPr>
        <w:t>£1.0m</w:t>
      </w:r>
      <w:r w:rsidRPr="002177CF">
        <w:rPr>
          <w:rFonts w:cs="Arial"/>
          <w:szCs w:val="24"/>
        </w:rPr>
        <w:t xml:space="preserve"> slippage and £8</w:t>
      </w:r>
      <w:r w:rsidR="002177CF" w:rsidRPr="002177CF">
        <w:rPr>
          <w:rFonts w:cs="Arial"/>
          <w:szCs w:val="24"/>
        </w:rPr>
        <w:t>09</w:t>
      </w:r>
      <w:r w:rsidRPr="002177CF">
        <w:rPr>
          <w:rFonts w:cs="Arial"/>
          <w:szCs w:val="24"/>
        </w:rPr>
        <w:t>k underspend. This was set aside for acquisition of property within Phase 2 and is now no longer required. it is proposed to use £</w:t>
      </w:r>
      <w:r w:rsidR="002177CF" w:rsidRPr="002177CF">
        <w:rPr>
          <w:rFonts w:cs="Arial"/>
          <w:szCs w:val="24"/>
        </w:rPr>
        <w:t>1.0m</w:t>
      </w:r>
      <w:r w:rsidRPr="002177CF">
        <w:rPr>
          <w:rFonts w:cs="Arial"/>
          <w:szCs w:val="24"/>
        </w:rPr>
        <w:t xml:space="preserve"> of this budget in the next financial year</w:t>
      </w:r>
      <w:r w:rsidR="002177CF" w:rsidRPr="002177CF">
        <w:rPr>
          <w:rFonts w:cs="Arial"/>
          <w:szCs w:val="24"/>
        </w:rPr>
        <w:t>. Of this, £500k will be used</w:t>
      </w:r>
      <w:r w:rsidRPr="002177CF">
        <w:rPr>
          <w:rFonts w:cs="Arial"/>
          <w:szCs w:val="24"/>
        </w:rPr>
        <w:t xml:space="preserve"> to top up the budget set </w:t>
      </w:r>
      <w:r w:rsidR="007059B0" w:rsidRPr="002177CF">
        <w:rPr>
          <w:rFonts w:cs="Arial"/>
          <w:szCs w:val="24"/>
        </w:rPr>
        <w:t>aside</w:t>
      </w:r>
      <w:r w:rsidRPr="002177CF">
        <w:rPr>
          <w:rFonts w:cs="Arial"/>
          <w:szCs w:val="24"/>
        </w:rPr>
        <w:t xml:space="preserve"> for the acquisition of the 20 Notting Hill Genesis properties</w:t>
      </w:r>
      <w:r w:rsidR="002177CF" w:rsidRPr="002177CF">
        <w:rPr>
          <w:rFonts w:cs="Arial"/>
          <w:szCs w:val="24"/>
        </w:rPr>
        <w:t xml:space="preserve"> and £500k set aside for </w:t>
      </w:r>
      <w:proofErr w:type="gramStart"/>
      <w:r w:rsidR="002177CF" w:rsidRPr="002177CF">
        <w:rPr>
          <w:rFonts w:cs="Arial"/>
          <w:szCs w:val="24"/>
        </w:rPr>
        <w:t>client side</w:t>
      </w:r>
      <w:proofErr w:type="gramEnd"/>
      <w:r w:rsidR="002177CF" w:rsidRPr="002177CF">
        <w:rPr>
          <w:rFonts w:cs="Arial"/>
          <w:szCs w:val="24"/>
        </w:rPr>
        <w:t xml:space="preserve"> costs not budgeted for</w:t>
      </w:r>
      <w:r w:rsidR="002177CF">
        <w:rPr>
          <w:rFonts w:cs="Arial"/>
          <w:szCs w:val="24"/>
        </w:rPr>
        <w:t>.</w:t>
      </w:r>
    </w:p>
    <w:p w14:paraId="59C20CED" w14:textId="77777777" w:rsidR="002177CF" w:rsidRPr="002177CF" w:rsidRDefault="002177CF" w:rsidP="002177CF">
      <w:pPr>
        <w:pStyle w:val="ListParagraph"/>
        <w:rPr>
          <w:rFonts w:cs="Arial"/>
          <w:szCs w:val="24"/>
        </w:rPr>
      </w:pPr>
    </w:p>
    <w:p w14:paraId="2E464B43" w14:textId="3B37BAA8" w:rsidR="002177CF" w:rsidRDefault="006B286E" w:rsidP="002177CF">
      <w:pPr>
        <w:pStyle w:val="ListParagraph"/>
        <w:numPr>
          <w:ilvl w:val="1"/>
          <w:numId w:val="16"/>
        </w:numPr>
        <w:tabs>
          <w:tab w:val="left" w:pos="851"/>
        </w:tabs>
        <w:ind w:left="567" w:hanging="567"/>
        <w:jc w:val="both"/>
        <w:rPr>
          <w:rFonts w:cs="Arial"/>
          <w:szCs w:val="24"/>
        </w:rPr>
      </w:pPr>
      <w:r w:rsidRPr="006B286E">
        <w:rPr>
          <w:rFonts w:cs="Arial"/>
          <w:b/>
          <w:bCs/>
          <w:szCs w:val="24"/>
        </w:rPr>
        <w:t>Phase 2 Delivery</w:t>
      </w:r>
      <w:r>
        <w:rPr>
          <w:rFonts w:cs="Arial"/>
          <w:szCs w:val="24"/>
        </w:rPr>
        <w:t xml:space="preserve"> - £411k slippage. In November 2022, Cabinet agreed to reprofile Phase 2 of Grange Farm to be delivered via Harrow Strategic Development </w:t>
      </w:r>
      <w:r w:rsidR="00E42991">
        <w:rPr>
          <w:rFonts w:cs="Arial"/>
          <w:szCs w:val="24"/>
        </w:rPr>
        <w:t>Partnership</w:t>
      </w:r>
      <w:r>
        <w:rPr>
          <w:rFonts w:cs="Arial"/>
          <w:szCs w:val="24"/>
        </w:rPr>
        <w:t>. Due to the late start, the budget is required in 2023-24.</w:t>
      </w:r>
    </w:p>
    <w:p w14:paraId="4C35A53A" w14:textId="77777777" w:rsidR="002177CF" w:rsidRPr="006B286E" w:rsidRDefault="002177CF" w:rsidP="002177CF">
      <w:pPr>
        <w:pStyle w:val="ListParagraph"/>
        <w:rPr>
          <w:rFonts w:cs="Arial"/>
          <w:b/>
          <w:bCs/>
          <w:szCs w:val="24"/>
        </w:rPr>
      </w:pPr>
    </w:p>
    <w:p w14:paraId="6EE62F0F" w14:textId="4B32DCD0" w:rsidR="007924BF" w:rsidRPr="006B286E" w:rsidRDefault="007924BF" w:rsidP="00B97A5F">
      <w:pPr>
        <w:pStyle w:val="ListParagraph"/>
        <w:numPr>
          <w:ilvl w:val="1"/>
          <w:numId w:val="16"/>
        </w:numPr>
        <w:tabs>
          <w:tab w:val="left" w:pos="851"/>
        </w:tabs>
        <w:ind w:left="567" w:hanging="567"/>
        <w:jc w:val="both"/>
        <w:rPr>
          <w:rFonts w:cs="Arial"/>
          <w:szCs w:val="24"/>
        </w:rPr>
      </w:pPr>
      <w:r w:rsidRPr="006B286E">
        <w:rPr>
          <w:rFonts w:cs="Arial"/>
          <w:b/>
          <w:bCs/>
          <w:szCs w:val="24"/>
        </w:rPr>
        <w:t>Grange Farm Phase 3 -</w:t>
      </w:r>
      <w:r w:rsidRPr="006B286E">
        <w:rPr>
          <w:rFonts w:cs="Arial"/>
          <w:szCs w:val="24"/>
        </w:rPr>
        <w:t xml:space="preserve"> £</w:t>
      </w:r>
      <w:r w:rsidR="006B286E" w:rsidRPr="006B286E">
        <w:rPr>
          <w:rFonts w:cs="Arial"/>
          <w:szCs w:val="24"/>
        </w:rPr>
        <w:t>225</w:t>
      </w:r>
      <w:r w:rsidRPr="006B286E">
        <w:rPr>
          <w:rFonts w:cs="Arial"/>
          <w:szCs w:val="24"/>
        </w:rPr>
        <w:t>k slippage</w:t>
      </w:r>
      <w:r w:rsidR="006B286E" w:rsidRPr="006B286E">
        <w:rPr>
          <w:rFonts w:cs="Arial"/>
          <w:szCs w:val="24"/>
        </w:rPr>
        <w:t xml:space="preserve"> and £57k underspend</w:t>
      </w:r>
      <w:r w:rsidRPr="006B286E">
        <w:rPr>
          <w:rFonts w:cs="Arial"/>
          <w:szCs w:val="24"/>
        </w:rPr>
        <w:t xml:space="preserve">. </w:t>
      </w:r>
      <w:r w:rsidR="006B286E" w:rsidRPr="006B286E">
        <w:rPr>
          <w:rFonts w:cs="Arial"/>
          <w:szCs w:val="24"/>
        </w:rPr>
        <w:t>T</w:t>
      </w:r>
      <w:r w:rsidRPr="006B286E">
        <w:rPr>
          <w:rFonts w:cs="Arial"/>
          <w:szCs w:val="24"/>
        </w:rPr>
        <w:t xml:space="preserve">his was set aside for Phase 3 commencing in 2022-23. </w:t>
      </w:r>
      <w:r w:rsidR="006B286E" w:rsidRPr="006B286E">
        <w:rPr>
          <w:rFonts w:cs="Arial"/>
          <w:szCs w:val="24"/>
        </w:rPr>
        <w:t>Following a review, this phase will only be taken to planning and the budgets have been reprofiled accordingly.</w:t>
      </w:r>
    </w:p>
    <w:p w14:paraId="3E834A78" w14:textId="77777777" w:rsidR="006B286E" w:rsidRPr="006B286E" w:rsidRDefault="006B286E" w:rsidP="006B286E">
      <w:pPr>
        <w:pStyle w:val="ListParagraph"/>
        <w:rPr>
          <w:rFonts w:cs="Arial"/>
          <w:szCs w:val="24"/>
        </w:rPr>
      </w:pPr>
    </w:p>
    <w:p w14:paraId="794DF37F" w14:textId="309D51BB" w:rsidR="006B286E" w:rsidRPr="006B286E" w:rsidRDefault="006B286E" w:rsidP="00B97A5F">
      <w:pPr>
        <w:pStyle w:val="ListParagraph"/>
        <w:numPr>
          <w:ilvl w:val="1"/>
          <w:numId w:val="16"/>
        </w:numPr>
        <w:tabs>
          <w:tab w:val="left" w:pos="851"/>
        </w:tabs>
        <w:ind w:left="567" w:hanging="567"/>
        <w:jc w:val="both"/>
        <w:rPr>
          <w:rFonts w:cs="Arial"/>
          <w:szCs w:val="24"/>
        </w:rPr>
      </w:pPr>
      <w:r w:rsidRPr="006B286E">
        <w:rPr>
          <w:rFonts w:cs="Arial"/>
          <w:b/>
          <w:bCs/>
          <w:szCs w:val="24"/>
        </w:rPr>
        <w:lastRenderedPageBreak/>
        <w:t>Grange Farm Infrastructure</w:t>
      </w:r>
      <w:r w:rsidRPr="006B286E">
        <w:rPr>
          <w:rFonts w:cs="Arial"/>
          <w:szCs w:val="24"/>
        </w:rPr>
        <w:t xml:space="preserve"> - £4.878m slippage. This budget relates to the </w:t>
      </w:r>
      <w:proofErr w:type="gramStart"/>
      <w:r w:rsidRPr="006B286E">
        <w:rPr>
          <w:rFonts w:cs="Arial"/>
          <w:szCs w:val="24"/>
        </w:rPr>
        <w:t>client side</w:t>
      </w:r>
      <w:proofErr w:type="gramEnd"/>
      <w:r w:rsidRPr="006B286E">
        <w:rPr>
          <w:rFonts w:cs="Arial"/>
          <w:szCs w:val="24"/>
        </w:rPr>
        <w:t xml:space="preserve"> costs of phases 2 and 3 of the Grange Farm regeneration </w:t>
      </w:r>
      <w:r w:rsidR="00E42991" w:rsidRPr="006B286E">
        <w:rPr>
          <w:rFonts w:cs="Arial"/>
          <w:szCs w:val="24"/>
        </w:rPr>
        <w:t>programme</w:t>
      </w:r>
      <w:r w:rsidRPr="006B286E">
        <w:rPr>
          <w:rFonts w:cs="Arial"/>
          <w:szCs w:val="24"/>
        </w:rPr>
        <w:t xml:space="preserve"> in 2023-24</w:t>
      </w:r>
    </w:p>
    <w:p w14:paraId="09D39178" w14:textId="77777777" w:rsidR="006B286E" w:rsidRPr="006B286E" w:rsidRDefault="006B286E" w:rsidP="006B286E">
      <w:pPr>
        <w:pStyle w:val="ListParagraph"/>
        <w:rPr>
          <w:rFonts w:cs="Arial"/>
          <w:szCs w:val="24"/>
        </w:rPr>
      </w:pPr>
    </w:p>
    <w:p w14:paraId="796D3DBB" w14:textId="38763353" w:rsidR="007924BF" w:rsidRDefault="007924BF" w:rsidP="006B286E">
      <w:pPr>
        <w:pStyle w:val="ListParagraph"/>
        <w:numPr>
          <w:ilvl w:val="1"/>
          <w:numId w:val="16"/>
        </w:numPr>
        <w:tabs>
          <w:tab w:val="left" w:pos="851"/>
        </w:tabs>
        <w:ind w:left="567" w:hanging="567"/>
        <w:jc w:val="both"/>
        <w:rPr>
          <w:rFonts w:cs="Arial"/>
          <w:szCs w:val="24"/>
        </w:rPr>
      </w:pPr>
      <w:r w:rsidRPr="006B286E">
        <w:rPr>
          <w:rFonts w:cs="Arial"/>
          <w:b/>
          <w:bCs/>
          <w:szCs w:val="24"/>
        </w:rPr>
        <w:t>Building Council Homes for Londoners Programme</w:t>
      </w:r>
      <w:r w:rsidRPr="006B286E">
        <w:rPr>
          <w:rFonts w:cs="Arial"/>
          <w:szCs w:val="24"/>
        </w:rPr>
        <w:t xml:space="preserve"> - £</w:t>
      </w:r>
      <w:r w:rsidR="006B286E" w:rsidRPr="006B286E">
        <w:rPr>
          <w:rFonts w:cs="Arial"/>
          <w:szCs w:val="24"/>
        </w:rPr>
        <w:t>7.472</w:t>
      </w:r>
      <w:r w:rsidRPr="006B286E">
        <w:rPr>
          <w:rFonts w:cs="Arial"/>
          <w:szCs w:val="24"/>
        </w:rPr>
        <w:t>m slippage and £</w:t>
      </w:r>
      <w:r w:rsidR="006B286E" w:rsidRPr="006B286E">
        <w:rPr>
          <w:rFonts w:cs="Arial"/>
          <w:szCs w:val="24"/>
        </w:rPr>
        <w:t>9.329</w:t>
      </w:r>
      <w:r w:rsidRPr="006B286E">
        <w:rPr>
          <w:rFonts w:cs="Arial"/>
          <w:szCs w:val="24"/>
        </w:rPr>
        <w:t xml:space="preserve">m underspend. Schemes have been reviewed and it is not possible to achieve start on site on some projects by 31 March </w:t>
      </w:r>
      <w:r w:rsidR="006B286E" w:rsidRPr="006B286E">
        <w:rPr>
          <w:rFonts w:cs="Arial"/>
          <w:szCs w:val="24"/>
        </w:rPr>
        <w:t>2023.</w:t>
      </w:r>
    </w:p>
    <w:p w14:paraId="5AB8C5EB" w14:textId="77777777" w:rsidR="006B286E" w:rsidRPr="006B286E" w:rsidRDefault="006B286E" w:rsidP="006B286E">
      <w:pPr>
        <w:pStyle w:val="ListParagraph"/>
        <w:rPr>
          <w:rFonts w:cs="Arial"/>
          <w:szCs w:val="24"/>
        </w:rPr>
      </w:pPr>
    </w:p>
    <w:p w14:paraId="299BD7F6" w14:textId="4AC8AD01" w:rsidR="006B286E" w:rsidRPr="006B286E" w:rsidRDefault="006B286E" w:rsidP="006B286E">
      <w:pPr>
        <w:pStyle w:val="ListParagraph"/>
        <w:numPr>
          <w:ilvl w:val="1"/>
          <w:numId w:val="16"/>
        </w:numPr>
        <w:tabs>
          <w:tab w:val="left" w:pos="851"/>
        </w:tabs>
        <w:ind w:left="567" w:hanging="567"/>
        <w:jc w:val="both"/>
        <w:rPr>
          <w:rFonts w:cs="Arial"/>
          <w:szCs w:val="24"/>
        </w:rPr>
      </w:pPr>
      <w:r>
        <w:rPr>
          <w:rFonts w:cs="Arial"/>
          <w:szCs w:val="24"/>
        </w:rPr>
        <w:t>Unless stated otherwise, there are no revenue implications as a result of this slippage.</w:t>
      </w:r>
    </w:p>
    <w:p w14:paraId="764BAB8B" w14:textId="77777777" w:rsidR="007924BF" w:rsidRPr="006160A2" w:rsidRDefault="007924BF" w:rsidP="007924BF">
      <w:pPr>
        <w:pStyle w:val="ListParagraph"/>
        <w:rPr>
          <w:rFonts w:cs="Arial"/>
          <w:color w:val="FF0000"/>
          <w:szCs w:val="24"/>
        </w:rPr>
      </w:pPr>
    </w:p>
    <w:p w14:paraId="6395D5B2" w14:textId="063408ED" w:rsidR="00237FEA" w:rsidRPr="006160A2" w:rsidRDefault="00237FEA" w:rsidP="00BF1336">
      <w:pPr>
        <w:pStyle w:val="ListParagraph"/>
        <w:tabs>
          <w:tab w:val="left" w:pos="142"/>
          <w:tab w:val="left" w:pos="284"/>
          <w:tab w:val="left" w:pos="709"/>
        </w:tabs>
        <w:ind w:left="709"/>
        <w:jc w:val="both"/>
        <w:rPr>
          <w:rFonts w:cs="Arial"/>
          <w:b/>
          <w:bCs/>
          <w:color w:val="FF0000"/>
        </w:rPr>
      </w:pPr>
    </w:p>
    <w:p w14:paraId="2070843B" w14:textId="6C97692C" w:rsidR="00BF1336" w:rsidRPr="006F177D" w:rsidRDefault="00BF1336" w:rsidP="00BF1336">
      <w:pPr>
        <w:pStyle w:val="ListParagraph"/>
        <w:tabs>
          <w:tab w:val="left" w:pos="142"/>
          <w:tab w:val="left" w:pos="284"/>
          <w:tab w:val="left" w:pos="709"/>
        </w:tabs>
        <w:ind w:left="709"/>
        <w:jc w:val="both"/>
        <w:rPr>
          <w:rFonts w:cs="Arial"/>
          <w:b/>
          <w:bCs/>
          <w:u w:val="single"/>
        </w:rPr>
      </w:pPr>
      <w:r w:rsidRPr="006F177D">
        <w:rPr>
          <w:rFonts w:cs="Arial"/>
          <w:b/>
          <w:bCs/>
          <w:u w:val="single"/>
        </w:rPr>
        <w:t>PEOPLE SERVICES</w:t>
      </w:r>
    </w:p>
    <w:p w14:paraId="178D885A" w14:textId="77777777" w:rsidR="00BF1336" w:rsidRPr="006F177D" w:rsidRDefault="00BF1336" w:rsidP="00BF1336">
      <w:pPr>
        <w:pStyle w:val="ListParagraph"/>
        <w:rPr>
          <w:rFonts w:cs="Arial"/>
          <w:bCs/>
          <w:szCs w:val="24"/>
        </w:rPr>
      </w:pPr>
    </w:p>
    <w:p w14:paraId="3C98EFBB" w14:textId="46624AD3" w:rsidR="002B4A5D" w:rsidRPr="006F177D" w:rsidRDefault="001619BF" w:rsidP="001619BF">
      <w:pPr>
        <w:pStyle w:val="ListParagraph"/>
        <w:numPr>
          <w:ilvl w:val="1"/>
          <w:numId w:val="16"/>
        </w:numPr>
        <w:tabs>
          <w:tab w:val="left" w:pos="142"/>
          <w:tab w:val="left" w:pos="284"/>
          <w:tab w:val="left" w:pos="709"/>
        </w:tabs>
        <w:jc w:val="both"/>
        <w:rPr>
          <w:rFonts w:cs="Arial"/>
        </w:rPr>
      </w:pPr>
      <w:r w:rsidRPr="006F177D">
        <w:rPr>
          <w:rFonts w:cs="Arial"/>
          <w:bCs/>
          <w:szCs w:val="24"/>
        </w:rPr>
        <w:t xml:space="preserve">  </w:t>
      </w:r>
      <w:r w:rsidR="0092238D" w:rsidRPr="006F177D">
        <w:rPr>
          <w:rFonts w:cs="Arial"/>
          <w:bCs/>
          <w:szCs w:val="24"/>
        </w:rPr>
        <w:t xml:space="preserve">As </w:t>
      </w:r>
      <w:r w:rsidR="006F177D" w:rsidRPr="006F177D">
        <w:rPr>
          <w:rFonts w:cs="Arial"/>
          <w:bCs/>
          <w:szCs w:val="24"/>
        </w:rPr>
        <w:t>at the end of the financial year the</w:t>
      </w:r>
      <w:r w:rsidR="0092238D" w:rsidRPr="006F177D">
        <w:rPr>
          <w:rFonts w:cs="Arial"/>
          <w:bCs/>
          <w:szCs w:val="24"/>
        </w:rPr>
        <w:t xml:space="preserve"> </w:t>
      </w:r>
      <w:r w:rsidR="006F177D" w:rsidRPr="006F177D">
        <w:rPr>
          <w:rFonts w:cs="Arial"/>
          <w:bCs/>
          <w:szCs w:val="24"/>
        </w:rPr>
        <w:t xml:space="preserve">final </w:t>
      </w:r>
      <w:r w:rsidR="0092238D" w:rsidRPr="006F177D">
        <w:rPr>
          <w:rFonts w:cs="Arial"/>
          <w:bCs/>
          <w:szCs w:val="24"/>
        </w:rPr>
        <w:t xml:space="preserve">spend is </w:t>
      </w:r>
      <w:r w:rsidR="009F16FD" w:rsidRPr="006F177D">
        <w:rPr>
          <w:rFonts w:cs="Arial"/>
          <w:bCs/>
          <w:szCs w:val="24"/>
        </w:rPr>
        <w:t>£</w:t>
      </w:r>
      <w:r w:rsidR="006F177D" w:rsidRPr="006F177D">
        <w:rPr>
          <w:rFonts w:cs="Arial"/>
          <w:bCs/>
          <w:szCs w:val="24"/>
        </w:rPr>
        <w:t>3.265</w:t>
      </w:r>
      <w:r w:rsidR="00652F9B" w:rsidRPr="006F177D">
        <w:rPr>
          <w:rFonts w:cs="Arial"/>
          <w:bCs/>
          <w:szCs w:val="24"/>
        </w:rPr>
        <w:t>m</w:t>
      </w:r>
      <w:r w:rsidR="0092238D" w:rsidRPr="006F177D">
        <w:rPr>
          <w:rFonts w:cs="Arial"/>
          <w:bCs/>
          <w:szCs w:val="24"/>
        </w:rPr>
        <w:t xml:space="preserve"> which is </w:t>
      </w:r>
      <w:r w:rsidR="00652F9B" w:rsidRPr="006F177D">
        <w:rPr>
          <w:rFonts w:cs="Arial"/>
          <w:bCs/>
          <w:szCs w:val="24"/>
        </w:rPr>
        <w:t>1</w:t>
      </w:r>
      <w:r w:rsidR="006F177D" w:rsidRPr="006F177D">
        <w:rPr>
          <w:rFonts w:cs="Arial"/>
          <w:bCs/>
          <w:szCs w:val="24"/>
        </w:rPr>
        <w:t>1</w:t>
      </w:r>
      <w:r w:rsidR="0092238D" w:rsidRPr="006F177D">
        <w:rPr>
          <w:rFonts w:cs="Arial"/>
          <w:bCs/>
          <w:szCs w:val="24"/>
        </w:rPr>
        <w:t>% of the total budget.</w:t>
      </w:r>
    </w:p>
    <w:p w14:paraId="22B9BCF9" w14:textId="7206C8E4" w:rsidR="0092238D" w:rsidRDefault="0092238D" w:rsidP="0092238D">
      <w:pPr>
        <w:pStyle w:val="ListParagraph"/>
        <w:tabs>
          <w:tab w:val="left" w:pos="142"/>
          <w:tab w:val="left" w:pos="284"/>
          <w:tab w:val="left" w:pos="709"/>
        </w:tabs>
        <w:ind w:left="709"/>
        <w:jc w:val="both"/>
        <w:rPr>
          <w:rFonts w:cs="Arial"/>
        </w:rPr>
      </w:pPr>
    </w:p>
    <w:p w14:paraId="1F0270AF" w14:textId="687924C7" w:rsidR="002B4A5D" w:rsidRPr="006F177D" w:rsidRDefault="00E16D65" w:rsidP="00E16D65">
      <w:pPr>
        <w:tabs>
          <w:tab w:val="left" w:pos="142"/>
          <w:tab w:val="left" w:pos="284"/>
          <w:tab w:val="left" w:pos="709"/>
        </w:tabs>
        <w:jc w:val="both"/>
        <w:rPr>
          <w:rFonts w:cs="Arial"/>
        </w:rPr>
      </w:pPr>
      <w:r w:rsidRPr="006F177D">
        <w:rPr>
          <w:rFonts w:cs="Arial"/>
          <w:b/>
        </w:rPr>
        <w:tab/>
      </w:r>
      <w:r w:rsidRPr="006F177D">
        <w:rPr>
          <w:rFonts w:cs="Arial"/>
          <w:b/>
        </w:rPr>
        <w:tab/>
      </w:r>
      <w:r w:rsidRPr="006F177D">
        <w:rPr>
          <w:rFonts w:cs="Arial"/>
          <w:b/>
        </w:rPr>
        <w:tab/>
      </w:r>
      <w:r w:rsidR="002B4A5D" w:rsidRPr="006F177D">
        <w:rPr>
          <w:rFonts w:cs="Arial"/>
          <w:b/>
        </w:rPr>
        <w:t xml:space="preserve">Adult Services </w:t>
      </w:r>
    </w:p>
    <w:p w14:paraId="2ADBD054" w14:textId="77777777" w:rsidR="006F177D" w:rsidRPr="006F177D" w:rsidRDefault="006F177D" w:rsidP="006F177D">
      <w:pPr>
        <w:pStyle w:val="ListParagraph"/>
        <w:tabs>
          <w:tab w:val="left" w:pos="142"/>
          <w:tab w:val="left" w:pos="284"/>
          <w:tab w:val="left" w:pos="709"/>
        </w:tabs>
        <w:spacing w:after="160" w:line="259" w:lineRule="auto"/>
        <w:ind w:left="709"/>
        <w:contextualSpacing/>
        <w:jc w:val="both"/>
        <w:rPr>
          <w:rFonts w:cs="Arial"/>
          <w:bCs/>
        </w:rPr>
      </w:pPr>
    </w:p>
    <w:p w14:paraId="264AE6AF" w14:textId="538EDDB2" w:rsidR="002B4A5D" w:rsidRPr="006F177D" w:rsidRDefault="006F177D" w:rsidP="00C35B6B">
      <w:pPr>
        <w:pStyle w:val="ListParagraph"/>
        <w:numPr>
          <w:ilvl w:val="1"/>
          <w:numId w:val="16"/>
        </w:numPr>
        <w:tabs>
          <w:tab w:val="left" w:pos="142"/>
          <w:tab w:val="left" w:pos="284"/>
          <w:tab w:val="left" w:pos="709"/>
        </w:tabs>
        <w:spacing w:after="160" w:line="259" w:lineRule="auto"/>
        <w:ind w:left="709" w:hanging="709"/>
        <w:contextualSpacing/>
        <w:jc w:val="both"/>
        <w:rPr>
          <w:rFonts w:cs="Arial"/>
          <w:bCs/>
        </w:rPr>
      </w:pPr>
      <w:r w:rsidRPr="006F177D">
        <w:rPr>
          <w:rFonts w:cs="Arial"/>
          <w:bCs/>
          <w:szCs w:val="24"/>
        </w:rPr>
        <w:t>In 2022-23 there was no spend against these projects and the full £358k will be slipped to 2023-24 as follows</w:t>
      </w:r>
      <w:r w:rsidR="00AF347B" w:rsidRPr="006F177D">
        <w:rPr>
          <w:rFonts w:cs="Arial"/>
          <w:bCs/>
        </w:rPr>
        <w:t xml:space="preserve"> </w:t>
      </w:r>
    </w:p>
    <w:p w14:paraId="634CB8A8" w14:textId="77777777" w:rsidR="0092238D" w:rsidRPr="006160A2" w:rsidRDefault="0092238D" w:rsidP="0092238D">
      <w:pPr>
        <w:pStyle w:val="ListParagraph"/>
        <w:tabs>
          <w:tab w:val="left" w:pos="142"/>
          <w:tab w:val="left" w:pos="284"/>
          <w:tab w:val="left" w:pos="709"/>
        </w:tabs>
        <w:spacing w:after="160" w:line="259" w:lineRule="auto"/>
        <w:ind w:left="709"/>
        <w:contextualSpacing/>
        <w:jc w:val="both"/>
        <w:rPr>
          <w:rFonts w:cs="Arial"/>
          <w:bCs/>
          <w:color w:val="FF0000"/>
          <w:u w:val="single"/>
        </w:rPr>
      </w:pPr>
    </w:p>
    <w:p w14:paraId="0FFC2077" w14:textId="6CCDDB95" w:rsidR="00C35B6B" w:rsidRPr="00B0172D" w:rsidRDefault="00C35B6B"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6F177D">
        <w:rPr>
          <w:rFonts w:cs="Arial"/>
          <w:b/>
        </w:rPr>
        <w:t>Assistive Technology Programme</w:t>
      </w:r>
      <w:r w:rsidRPr="006F177D">
        <w:rPr>
          <w:rFonts w:cs="Arial"/>
          <w:bCs/>
        </w:rPr>
        <w:t xml:space="preserve"> - £270k slippage. The service is scoping more products and looking for a </w:t>
      </w:r>
      <w:r w:rsidR="007059B0" w:rsidRPr="006F177D">
        <w:rPr>
          <w:rFonts w:cs="Arial"/>
          <w:bCs/>
        </w:rPr>
        <w:t>cohort</w:t>
      </w:r>
      <w:r w:rsidRPr="006F177D">
        <w:rPr>
          <w:rFonts w:cs="Arial"/>
          <w:bCs/>
        </w:rPr>
        <w:t xml:space="preserve"> of people who might benefit from this technology. Potential reablement projects are being investigated in terms of cost and practicality. </w:t>
      </w:r>
    </w:p>
    <w:p w14:paraId="56762A6E" w14:textId="77777777" w:rsidR="00C35B6B" w:rsidRPr="00B0172D" w:rsidRDefault="00C35B6B" w:rsidP="00C35B6B">
      <w:pPr>
        <w:pStyle w:val="ListParagraph"/>
        <w:rPr>
          <w:rFonts w:cs="Arial"/>
          <w:bCs/>
        </w:rPr>
      </w:pPr>
    </w:p>
    <w:p w14:paraId="284FAD8E" w14:textId="7416D162" w:rsidR="002B4A5D" w:rsidRPr="00B0172D" w:rsidRDefault="00C35B6B"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B0172D">
        <w:rPr>
          <w:rFonts w:cs="Arial"/>
          <w:b/>
        </w:rPr>
        <w:t>Inhouse Services</w:t>
      </w:r>
      <w:r w:rsidRPr="00B0172D">
        <w:rPr>
          <w:rFonts w:cs="Arial"/>
          <w:bCs/>
        </w:rPr>
        <w:t xml:space="preserve"> - £</w:t>
      </w:r>
      <w:r w:rsidR="006F177D" w:rsidRPr="00B0172D">
        <w:rPr>
          <w:rFonts w:cs="Arial"/>
          <w:bCs/>
        </w:rPr>
        <w:t>88</w:t>
      </w:r>
      <w:r w:rsidRPr="00B0172D">
        <w:rPr>
          <w:rFonts w:cs="Arial"/>
          <w:bCs/>
        </w:rPr>
        <w:t xml:space="preserve">k slippage. </w:t>
      </w:r>
      <w:r w:rsidR="00FC048A" w:rsidRPr="00B0172D">
        <w:rPr>
          <w:rFonts w:cs="Arial"/>
          <w:bCs/>
        </w:rPr>
        <w:t>The budget is to support p</w:t>
      </w:r>
      <w:r w:rsidRPr="00B0172D">
        <w:rPr>
          <w:rFonts w:cs="Arial"/>
          <w:bCs/>
        </w:rPr>
        <w:t xml:space="preserve">rojects under consideration at </w:t>
      </w:r>
      <w:proofErr w:type="spellStart"/>
      <w:r w:rsidRPr="00B0172D">
        <w:rPr>
          <w:rFonts w:cs="Arial"/>
          <w:bCs/>
        </w:rPr>
        <w:t>Wiseworks</w:t>
      </w:r>
      <w:proofErr w:type="spellEnd"/>
      <w:r w:rsidR="00FC048A" w:rsidRPr="00B0172D">
        <w:rPr>
          <w:rFonts w:cs="Arial"/>
          <w:bCs/>
        </w:rPr>
        <w:t xml:space="preserve"> to aid </w:t>
      </w:r>
      <w:r w:rsidR="003C3D1B">
        <w:rPr>
          <w:rFonts w:cs="Arial"/>
          <w:bCs/>
        </w:rPr>
        <w:t xml:space="preserve">the </w:t>
      </w:r>
      <w:r w:rsidR="00FC048A" w:rsidRPr="00B0172D">
        <w:rPr>
          <w:rFonts w:cs="Arial"/>
          <w:bCs/>
        </w:rPr>
        <w:t>front facing Adults Social Care vision and for integration of Learning Disability services</w:t>
      </w:r>
      <w:r w:rsidR="006F177D" w:rsidRPr="00B0172D">
        <w:rPr>
          <w:rFonts w:cs="Arial"/>
          <w:bCs/>
        </w:rPr>
        <w:t xml:space="preserve"> to be carried out in 2023-24</w:t>
      </w:r>
    </w:p>
    <w:p w14:paraId="229CF010" w14:textId="36001667" w:rsidR="0092238D" w:rsidRPr="00B0172D" w:rsidRDefault="00E16D65" w:rsidP="00E16D65">
      <w:pPr>
        <w:tabs>
          <w:tab w:val="left" w:pos="142"/>
          <w:tab w:val="left" w:pos="284"/>
          <w:tab w:val="left" w:pos="709"/>
        </w:tabs>
        <w:spacing w:after="160" w:line="259" w:lineRule="auto"/>
        <w:contextualSpacing/>
        <w:jc w:val="both"/>
        <w:rPr>
          <w:rFonts w:cs="Arial"/>
          <w:b/>
          <w:u w:val="single"/>
        </w:rPr>
      </w:pPr>
      <w:r w:rsidRPr="00B0172D">
        <w:rPr>
          <w:rFonts w:cs="Arial"/>
          <w:b/>
        </w:rPr>
        <w:tab/>
      </w:r>
      <w:r w:rsidRPr="00B0172D">
        <w:rPr>
          <w:rFonts w:cs="Arial"/>
          <w:b/>
        </w:rPr>
        <w:tab/>
      </w:r>
      <w:r w:rsidRPr="00B0172D">
        <w:rPr>
          <w:rFonts w:cs="Arial"/>
          <w:b/>
        </w:rPr>
        <w:tab/>
      </w:r>
      <w:r w:rsidR="002B4A5D" w:rsidRPr="00B0172D">
        <w:rPr>
          <w:rFonts w:cs="Arial"/>
          <w:b/>
        </w:rPr>
        <w:t>Public Health</w:t>
      </w:r>
    </w:p>
    <w:p w14:paraId="338C81DD" w14:textId="302D0556" w:rsidR="0092238D" w:rsidRPr="00B0172D" w:rsidRDefault="0092238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B0172D">
        <w:rPr>
          <w:rFonts w:cs="Arial"/>
          <w:szCs w:val="24"/>
        </w:rPr>
        <w:t>As</w:t>
      </w:r>
      <w:r w:rsidR="006F177D" w:rsidRPr="00B0172D">
        <w:rPr>
          <w:rFonts w:cs="Arial"/>
          <w:szCs w:val="24"/>
        </w:rPr>
        <w:t xml:space="preserve"> at the end of the financial year the final spend is £6</w:t>
      </w:r>
      <w:r w:rsidR="00B0172D" w:rsidRPr="00B0172D">
        <w:rPr>
          <w:rFonts w:cs="Arial"/>
          <w:szCs w:val="24"/>
        </w:rPr>
        <w:t>k of the total £7k budget. The remaining £1k will be slipped to 2023-24.</w:t>
      </w:r>
      <w:r w:rsidRPr="00B0172D">
        <w:rPr>
          <w:rFonts w:cs="Arial"/>
          <w:bCs/>
          <w:szCs w:val="24"/>
        </w:rPr>
        <w:t xml:space="preserve"> </w:t>
      </w:r>
    </w:p>
    <w:p w14:paraId="53A771CD" w14:textId="77777777" w:rsidR="002B4A5D" w:rsidRPr="006160A2" w:rsidRDefault="002B4A5D" w:rsidP="002B4A5D">
      <w:pPr>
        <w:pStyle w:val="ListParagraph"/>
        <w:rPr>
          <w:rFonts w:cs="Arial"/>
          <w:b/>
          <w:bCs/>
          <w:color w:val="FF0000"/>
          <w:szCs w:val="24"/>
        </w:rPr>
      </w:pPr>
    </w:p>
    <w:p w14:paraId="52477039" w14:textId="6F37A32A" w:rsidR="00BF1336" w:rsidRPr="006C7890" w:rsidRDefault="00BF1336" w:rsidP="00E16D65">
      <w:pPr>
        <w:tabs>
          <w:tab w:val="left" w:pos="142"/>
          <w:tab w:val="left" w:pos="284"/>
          <w:tab w:val="left" w:pos="709"/>
        </w:tabs>
        <w:spacing w:after="160" w:line="259" w:lineRule="auto"/>
        <w:contextualSpacing/>
        <w:jc w:val="both"/>
        <w:rPr>
          <w:rFonts w:cs="Arial"/>
          <w:b/>
          <w:u w:val="single"/>
        </w:rPr>
      </w:pPr>
      <w:r w:rsidRPr="006C7890">
        <w:rPr>
          <w:rFonts w:cs="Arial"/>
          <w:b/>
          <w:bCs/>
          <w:szCs w:val="24"/>
        </w:rPr>
        <w:t>Children’s Services</w:t>
      </w:r>
    </w:p>
    <w:p w14:paraId="095D4FD1" w14:textId="77777777" w:rsidR="00BF1336" w:rsidRPr="006C7890" w:rsidRDefault="00BF1336" w:rsidP="00BF1336">
      <w:pPr>
        <w:pStyle w:val="ListParagraph"/>
        <w:tabs>
          <w:tab w:val="left" w:pos="142"/>
          <w:tab w:val="left" w:pos="284"/>
          <w:tab w:val="left" w:pos="709"/>
        </w:tabs>
        <w:ind w:left="709"/>
        <w:jc w:val="both"/>
        <w:rPr>
          <w:rFonts w:cs="Arial"/>
          <w:szCs w:val="24"/>
        </w:rPr>
      </w:pPr>
    </w:p>
    <w:p w14:paraId="3BB50303" w14:textId="76F5D59C" w:rsidR="00D461E5" w:rsidRPr="006C7890" w:rsidRDefault="006C7890" w:rsidP="001619BF">
      <w:pPr>
        <w:pStyle w:val="ListParagraph"/>
        <w:numPr>
          <w:ilvl w:val="1"/>
          <w:numId w:val="16"/>
        </w:numPr>
        <w:tabs>
          <w:tab w:val="left" w:pos="142"/>
          <w:tab w:val="left" w:pos="284"/>
          <w:tab w:val="left" w:pos="709"/>
        </w:tabs>
        <w:ind w:left="709" w:hanging="709"/>
        <w:jc w:val="both"/>
        <w:rPr>
          <w:rFonts w:cs="Arial"/>
          <w:szCs w:val="24"/>
        </w:rPr>
      </w:pPr>
      <w:r w:rsidRPr="006C7890">
        <w:rPr>
          <w:rFonts w:cs="Arial"/>
        </w:rPr>
        <w:t>As at the end of the financial year the final outturn is spend of £3.245m against a budget of £28.519m. The remaining £25.275m will be slipped to future years.</w:t>
      </w:r>
    </w:p>
    <w:p w14:paraId="47A633E2" w14:textId="77777777" w:rsidR="0092238D" w:rsidRPr="006C7890" w:rsidRDefault="0092238D" w:rsidP="0092238D">
      <w:pPr>
        <w:pStyle w:val="ListParagraph"/>
        <w:rPr>
          <w:rFonts w:cs="Arial"/>
          <w:szCs w:val="24"/>
        </w:rPr>
      </w:pPr>
    </w:p>
    <w:p w14:paraId="1AAF06D7" w14:textId="530CB168" w:rsidR="0092238D" w:rsidRPr="006C7890" w:rsidRDefault="0092238D" w:rsidP="001619BF">
      <w:pPr>
        <w:pStyle w:val="ListParagraph"/>
        <w:numPr>
          <w:ilvl w:val="1"/>
          <w:numId w:val="16"/>
        </w:numPr>
        <w:tabs>
          <w:tab w:val="left" w:pos="142"/>
          <w:tab w:val="left" w:pos="284"/>
          <w:tab w:val="left" w:pos="709"/>
        </w:tabs>
        <w:ind w:left="709" w:hanging="709"/>
        <w:jc w:val="both"/>
        <w:rPr>
          <w:rFonts w:cs="Arial"/>
          <w:szCs w:val="24"/>
        </w:rPr>
      </w:pPr>
      <w:r w:rsidRPr="006C7890">
        <w:rPr>
          <w:rFonts w:cs="Arial"/>
          <w:szCs w:val="24"/>
        </w:rPr>
        <w:t>Additional Basic Need Grant Funding of £14.973m was allocated to the LA in 2021-22 to enable the LA to meet its statutory duty of providing sufficient mainstream school places. However, the current projections indicate that there is not a requirement for any permanent expansion at this stage. Funding allocated for bulge classes and historical capital maintenance funding, also funded from grant, will also be slipped to future years as this is not currently required.</w:t>
      </w:r>
    </w:p>
    <w:p w14:paraId="28FECC22" w14:textId="64161936" w:rsidR="00E42D6E" w:rsidRPr="006C7890" w:rsidRDefault="00E42D6E" w:rsidP="001619BF">
      <w:pPr>
        <w:pStyle w:val="ListParagraph"/>
        <w:numPr>
          <w:ilvl w:val="1"/>
          <w:numId w:val="16"/>
        </w:numPr>
        <w:tabs>
          <w:tab w:val="left" w:pos="142"/>
          <w:tab w:val="left" w:pos="284"/>
          <w:tab w:val="left" w:pos="709"/>
        </w:tabs>
        <w:ind w:left="709" w:hanging="709"/>
        <w:jc w:val="both"/>
        <w:rPr>
          <w:rFonts w:cs="Arial"/>
          <w:szCs w:val="24"/>
        </w:rPr>
      </w:pPr>
      <w:r w:rsidRPr="006C7890">
        <w:rPr>
          <w:rFonts w:cs="Arial"/>
          <w:szCs w:val="24"/>
        </w:rPr>
        <w:lastRenderedPageBreak/>
        <w:t xml:space="preserve">In addition, </w:t>
      </w:r>
      <w:proofErr w:type="gramStart"/>
      <w:r w:rsidRPr="006C7890">
        <w:rPr>
          <w:rFonts w:cs="Arial"/>
          <w:szCs w:val="24"/>
        </w:rPr>
        <w:t>the majority of</w:t>
      </w:r>
      <w:proofErr w:type="gramEnd"/>
      <w:r w:rsidRPr="006C7890">
        <w:rPr>
          <w:rFonts w:cs="Arial"/>
          <w:szCs w:val="24"/>
        </w:rPr>
        <w:t xml:space="preserve"> the SEN Expansion Programme funding will be slipped to 2023-24 as the additional provision will now be opened in September 2023.</w:t>
      </w:r>
    </w:p>
    <w:p w14:paraId="2A415971" w14:textId="77777777" w:rsidR="00D461E5" w:rsidRPr="006C7890" w:rsidRDefault="00D461E5" w:rsidP="00D461E5">
      <w:pPr>
        <w:pStyle w:val="ListParagraph"/>
        <w:rPr>
          <w:rFonts w:cs="Arial"/>
        </w:rPr>
      </w:pPr>
    </w:p>
    <w:p w14:paraId="29B05CAC" w14:textId="0871B6EA" w:rsidR="00BF1336" w:rsidRPr="006C7890" w:rsidRDefault="00233A07" w:rsidP="001619BF">
      <w:pPr>
        <w:pStyle w:val="ListParagraph"/>
        <w:numPr>
          <w:ilvl w:val="1"/>
          <w:numId w:val="16"/>
        </w:numPr>
        <w:tabs>
          <w:tab w:val="left" w:pos="142"/>
          <w:tab w:val="left" w:pos="284"/>
          <w:tab w:val="left" w:pos="709"/>
        </w:tabs>
        <w:ind w:left="709" w:hanging="709"/>
        <w:jc w:val="both"/>
        <w:rPr>
          <w:rFonts w:cs="Arial"/>
          <w:szCs w:val="24"/>
        </w:rPr>
      </w:pPr>
      <w:r w:rsidRPr="006C7890">
        <w:rPr>
          <w:rFonts w:cs="Arial"/>
        </w:rPr>
        <w:t>There are no revenue implications as a result of this slippage.</w:t>
      </w:r>
    </w:p>
    <w:p w14:paraId="6EC7BCC8" w14:textId="4A3D8014" w:rsidR="002E0F2C" w:rsidRPr="006160A2" w:rsidRDefault="002E0F2C" w:rsidP="002E0F2C">
      <w:pPr>
        <w:rPr>
          <w:rFonts w:cs="Arial"/>
          <w:color w:val="FF0000"/>
          <w:szCs w:val="24"/>
        </w:rPr>
      </w:pPr>
    </w:p>
    <w:p w14:paraId="34675283" w14:textId="52CFC624" w:rsidR="002E0F2C" w:rsidRPr="00362372" w:rsidRDefault="002E0F2C" w:rsidP="002E0F2C">
      <w:pPr>
        <w:rPr>
          <w:rFonts w:cs="Arial"/>
          <w:b/>
          <w:bCs/>
          <w:szCs w:val="24"/>
        </w:rPr>
      </w:pPr>
      <w:bookmarkStart w:id="7" w:name="_Hlk126764571"/>
      <w:r w:rsidRPr="00362372">
        <w:rPr>
          <w:rFonts w:cs="Arial"/>
          <w:b/>
          <w:bCs/>
          <w:szCs w:val="24"/>
        </w:rPr>
        <w:t>ADDITIONS AND AMENDMENTS TO THE CAPITAL PROGRAMME</w:t>
      </w:r>
    </w:p>
    <w:p w14:paraId="7D71E1A5" w14:textId="14EA7AF8" w:rsidR="002E0F2C" w:rsidRPr="00362372" w:rsidRDefault="002E0F2C" w:rsidP="002E0F2C">
      <w:pPr>
        <w:pStyle w:val="ListParagraph"/>
        <w:rPr>
          <w:rFonts w:cs="Arial"/>
          <w:szCs w:val="24"/>
        </w:rPr>
      </w:pPr>
    </w:p>
    <w:p w14:paraId="027C31AC" w14:textId="77777777" w:rsidR="002E0F2C" w:rsidRPr="00362372" w:rsidRDefault="002E0F2C" w:rsidP="002E0F2C">
      <w:pPr>
        <w:pStyle w:val="ListParagraph"/>
        <w:rPr>
          <w:rFonts w:cs="Arial"/>
          <w:szCs w:val="24"/>
        </w:rPr>
      </w:pPr>
    </w:p>
    <w:p w14:paraId="0D82D23A" w14:textId="12FBC83A" w:rsidR="002E0F2C" w:rsidRPr="00362372" w:rsidRDefault="00362372" w:rsidP="001619BF">
      <w:pPr>
        <w:pStyle w:val="ListParagraph"/>
        <w:numPr>
          <w:ilvl w:val="1"/>
          <w:numId w:val="16"/>
        </w:numPr>
        <w:tabs>
          <w:tab w:val="left" w:pos="142"/>
          <w:tab w:val="left" w:pos="284"/>
          <w:tab w:val="left" w:pos="709"/>
        </w:tabs>
        <w:ind w:left="709" w:hanging="709"/>
        <w:jc w:val="both"/>
        <w:rPr>
          <w:rFonts w:cs="Arial"/>
          <w:b/>
          <w:bCs/>
          <w:szCs w:val="24"/>
        </w:rPr>
      </w:pPr>
      <w:r w:rsidRPr="00362372">
        <w:rPr>
          <w:rFonts w:cs="Arial"/>
          <w:b/>
          <w:bCs/>
          <w:szCs w:val="24"/>
        </w:rPr>
        <w:t>Schools Condition Allocation £695,355</w:t>
      </w:r>
      <w:r w:rsidR="00701C66">
        <w:rPr>
          <w:rFonts w:cs="Arial"/>
          <w:b/>
          <w:bCs/>
          <w:szCs w:val="24"/>
        </w:rPr>
        <w:t xml:space="preserve"> - addition</w:t>
      </w:r>
    </w:p>
    <w:p w14:paraId="29B92B5B" w14:textId="77777777" w:rsidR="0095082B" w:rsidRPr="00362372" w:rsidRDefault="0095082B" w:rsidP="0095082B">
      <w:pPr>
        <w:pStyle w:val="ListParagraph"/>
        <w:tabs>
          <w:tab w:val="left" w:pos="142"/>
          <w:tab w:val="left" w:pos="284"/>
          <w:tab w:val="left" w:pos="709"/>
        </w:tabs>
        <w:ind w:left="709"/>
        <w:jc w:val="both"/>
        <w:rPr>
          <w:rFonts w:cs="Arial"/>
          <w:szCs w:val="24"/>
        </w:rPr>
      </w:pPr>
    </w:p>
    <w:p w14:paraId="69619E5A" w14:textId="474CF22C" w:rsidR="0095082B" w:rsidRPr="00362372" w:rsidRDefault="00362372" w:rsidP="001619BF">
      <w:pPr>
        <w:pStyle w:val="ListParagraph"/>
        <w:numPr>
          <w:ilvl w:val="1"/>
          <w:numId w:val="16"/>
        </w:numPr>
        <w:tabs>
          <w:tab w:val="left" w:pos="142"/>
          <w:tab w:val="left" w:pos="284"/>
          <w:tab w:val="left" w:pos="709"/>
        </w:tabs>
        <w:ind w:left="709" w:hanging="709"/>
        <w:jc w:val="both"/>
        <w:rPr>
          <w:rFonts w:cs="Arial"/>
          <w:szCs w:val="24"/>
        </w:rPr>
      </w:pPr>
      <w:r w:rsidRPr="00362372">
        <w:rPr>
          <w:rFonts w:cs="Arial"/>
          <w:szCs w:val="24"/>
        </w:rPr>
        <w:t xml:space="preserve">The SCA capital </w:t>
      </w:r>
      <w:r w:rsidR="00E42991" w:rsidRPr="00362372">
        <w:rPr>
          <w:rFonts w:cs="Arial"/>
          <w:szCs w:val="24"/>
        </w:rPr>
        <w:t>grant</w:t>
      </w:r>
      <w:r w:rsidRPr="00362372">
        <w:rPr>
          <w:rFonts w:cs="Arial"/>
          <w:szCs w:val="24"/>
        </w:rPr>
        <w:t xml:space="preserve"> is provided by the DfE to help LAs maintain and improve the condition of maintained school buildings and grounds. The grant allocation for 2022-23 was announced in March 2023 after the capital programme was approved in February, which included a £2m provisional allocation. The final grant allocation is £2,695,355</w:t>
      </w:r>
      <w:r w:rsidR="00701C66">
        <w:rPr>
          <w:rFonts w:cs="Arial"/>
          <w:szCs w:val="24"/>
        </w:rPr>
        <w:t xml:space="preserve">. It is therefore proposed that an additional budget of </w:t>
      </w:r>
      <w:r w:rsidRPr="00362372">
        <w:rPr>
          <w:rFonts w:cs="Arial"/>
          <w:szCs w:val="24"/>
        </w:rPr>
        <w:t xml:space="preserve">£695,355 </w:t>
      </w:r>
      <w:r w:rsidR="00701C66">
        <w:rPr>
          <w:rFonts w:cs="Arial"/>
          <w:szCs w:val="24"/>
        </w:rPr>
        <w:t xml:space="preserve">is included in the 2023-24 </w:t>
      </w:r>
      <w:r w:rsidRPr="00362372">
        <w:rPr>
          <w:rFonts w:cs="Arial"/>
          <w:szCs w:val="24"/>
        </w:rPr>
        <w:t>capital programme.</w:t>
      </w:r>
    </w:p>
    <w:p w14:paraId="7B42D0DB" w14:textId="77777777" w:rsidR="002C65CE" w:rsidRPr="006160A2" w:rsidRDefault="002C65CE" w:rsidP="002C65CE">
      <w:pPr>
        <w:pStyle w:val="ListParagraph"/>
        <w:rPr>
          <w:rFonts w:cs="Arial"/>
          <w:color w:val="FF0000"/>
          <w:szCs w:val="24"/>
        </w:rPr>
      </w:pPr>
    </w:p>
    <w:p w14:paraId="21EF7AB2" w14:textId="2F643E19" w:rsidR="002C65CE" w:rsidRPr="00701C66" w:rsidRDefault="00362372" w:rsidP="001619BF">
      <w:pPr>
        <w:pStyle w:val="ListParagraph"/>
        <w:numPr>
          <w:ilvl w:val="1"/>
          <w:numId w:val="16"/>
        </w:numPr>
        <w:tabs>
          <w:tab w:val="left" w:pos="142"/>
          <w:tab w:val="left" w:pos="284"/>
          <w:tab w:val="left" w:pos="709"/>
        </w:tabs>
        <w:ind w:left="709" w:hanging="709"/>
        <w:jc w:val="both"/>
        <w:rPr>
          <w:rFonts w:cs="Arial"/>
          <w:b/>
          <w:bCs/>
          <w:szCs w:val="24"/>
        </w:rPr>
      </w:pPr>
      <w:r w:rsidRPr="00701C66">
        <w:rPr>
          <w:rFonts w:cs="Arial"/>
          <w:b/>
          <w:bCs/>
          <w:szCs w:val="24"/>
        </w:rPr>
        <w:t>Green and Resilient Spaces Fund £300,000</w:t>
      </w:r>
      <w:r w:rsidR="00701C66">
        <w:rPr>
          <w:rFonts w:cs="Arial"/>
          <w:b/>
          <w:bCs/>
          <w:szCs w:val="24"/>
        </w:rPr>
        <w:t xml:space="preserve"> - addition</w:t>
      </w:r>
    </w:p>
    <w:p w14:paraId="57825B84" w14:textId="77777777" w:rsidR="002C65CE" w:rsidRPr="00701C66" w:rsidRDefault="002C65CE" w:rsidP="002C65CE">
      <w:pPr>
        <w:pStyle w:val="ListParagraph"/>
        <w:rPr>
          <w:rFonts w:cs="Arial"/>
          <w:szCs w:val="24"/>
        </w:rPr>
      </w:pPr>
    </w:p>
    <w:p w14:paraId="69BECB19" w14:textId="1F825FAE" w:rsidR="002C65CE" w:rsidRPr="00701C66" w:rsidRDefault="002C65CE" w:rsidP="001619BF">
      <w:pPr>
        <w:pStyle w:val="ListParagraph"/>
        <w:numPr>
          <w:ilvl w:val="1"/>
          <w:numId w:val="16"/>
        </w:numPr>
        <w:tabs>
          <w:tab w:val="left" w:pos="142"/>
          <w:tab w:val="left" w:pos="284"/>
          <w:tab w:val="left" w:pos="709"/>
        </w:tabs>
        <w:ind w:left="709" w:hanging="709"/>
        <w:jc w:val="both"/>
        <w:rPr>
          <w:rFonts w:cs="Arial"/>
          <w:szCs w:val="24"/>
        </w:rPr>
      </w:pPr>
      <w:r w:rsidRPr="00701C66">
        <w:rPr>
          <w:rFonts w:cs="Arial"/>
          <w:szCs w:val="24"/>
        </w:rPr>
        <w:t xml:space="preserve">Following </w:t>
      </w:r>
      <w:r w:rsidR="00362372" w:rsidRPr="00701C66">
        <w:rPr>
          <w:rFonts w:cs="Arial"/>
          <w:szCs w:val="24"/>
        </w:rPr>
        <w:t xml:space="preserve">a successful application to the Green and Resilient Spaces Fund for the Silk Stream Catchment (Chandos and Watling) Parks project, the GLA has awarded a total of £600,000 funding which is to be split 50/50 between two parks (Watling Park in Barnet and Chandos Park in Harrow). This forms the partnership funding for the wider parks infrastructure that will support the DEFRA funded </w:t>
      </w:r>
      <w:proofErr w:type="gramStart"/>
      <w:r w:rsidR="00362372" w:rsidRPr="00701C66">
        <w:rPr>
          <w:rFonts w:cs="Arial"/>
          <w:szCs w:val="24"/>
        </w:rPr>
        <w:t>Silk Stream river</w:t>
      </w:r>
      <w:proofErr w:type="gramEnd"/>
      <w:r w:rsidR="00362372" w:rsidRPr="00701C66">
        <w:rPr>
          <w:rFonts w:cs="Arial"/>
          <w:szCs w:val="24"/>
        </w:rPr>
        <w:t xml:space="preserve"> catchment flood defence, resilience and storage that will be constructed in the river of these two parks. Harrow’s share of the funding is £300,000. It is therefore proposed that an additional budget of £300,000 is included in the 2023-24 capital programme.</w:t>
      </w:r>
    </w:p>
    <w:p w14:paraId="48BDAE0C" w14:textId="77777777" w:rsidR="002C65CE" w:rsidRPr="006160A2" w:rsidRDefault="002C65CE" w:rsidP="002C65CE">
      <w:pPr>
        <w:pStyle w:val="ListParagraph"/>
        <w:rPr>
          <w:rFonts w:cs="Arial"/>
          <w:b/>
          <w:bCs/>
          <w:color w:val="FF0000"/>
          <w:szCs w:val="24"/>
        </w:rPr>
      </w:pPr>
    </w:p>
    <w:p w14:paraId="2D7DA8B3" w14:textId="0110BE06" w:rsidR="002C65CE" w:rsidRPr="00701C66" w:rsidRDefault="00701C66" w:rsidP="001619BF">
      <w:pPr>
        <w:pStyle w:val="ListParagraph"/>
        <w:numPr>
          <w:ilvl w:val="1"/>
          <w:numId w:val="16"/>
        </w:numPr>
        <w:tabs>
          <w:tab w:val="left" w:pos="142"/>
          <w:tab w:val="left" w:pos="284"/>
          <w:tab w:val="left" w:pos="709"/>
        </w:tabs>
        <w:ind w:left="709" w:hanging="709"/>
        <w:jc w:val="both"/>
        <w:rPr>
          <w:rFonts w:cs="Arial"/>
          <w:b/>
          <w:bCs/>
          <w:szCs w:val="24"/>
        </w:rPr>
      </w:pPr>
      <w:r w:rsidRPr="00701C66">
        <w:rPr>
          <w:rFonts w:cs="Arial"/>
          <w:b/>
          <w:bCs/>
          <w:szCs w:val="24"/>
        </w:rPr>
        <w:t>Future High Street Fund/Borough CIL £625,000 - virement</w:t>
      </w:r>
    </w:p>
    <w:p w14:paraId="2D64F965" w14:textId="77777777" w:rsidR="002C65CE" w:rsidRPr="00701C66" w:rsidRDefault="002C65CE" w:rsidP="002C65CE">
      <w:pPr>
        <w:pStyle w:val="ListParagraph"/>
        <w:rPr>
          <w:rFonts w:cs="Arial"/>
          <w:szCs w:val="24"/>
        </w:rPr>
      </w:pPr>
    </w:p>
    <w:bookmarkEnd w:id="7"/>
    <w:p w14:paraId="00B1505F" w14:textId="1DA0FD0A" w:rsidR="002C65CE" w:rsidRPr="00701C66" w:rsidRDefault="00701C66" w:rsidP="001619BF">
      <w:pPr>
        <w:pStyle w:val="ListParagraph"/>
        <w:numPr>
          <w:ilvl w:val="1"/>
          <w:numId w:val="16"/>
        </w:numPr>
        <w:tabs>
          <w:tab w:val="left" w:pos="142"/>
          <w:tab w:val="left" w:pos="284"/>
          <w:tab w:val="left" w:pos="709"/>
        </w:tabs>
        <w:ind w:left="709" w:hanging="709"/>
        <w:jc w:val="both"/>
        <w:rPr>
          <w:rFonts w:cs="Arial"/>
          <w:szCs w:val="24"/>
        </w:rPr>
      </w:pPr>
      <w:r w:rsidRPr="00701C66">
        <w:rPr>
          <w:rFonts w:cs="Arial"/>
          <w:szCs w:val="24"/>
        </w:rPr>
        <w:t xml:space="preserve">Following the approval of Project Adjustment Form by DHULC for the Future High Street Fund (FHSF) project, the revised projects under FHSF focus on improvements in Harrow Town Centre instead of Wealdstone set out in the original funding application. As such, it is proposed that the project name in the capital programme is amended from “Wealdstone Future High Street Fund” to “Future High Street Fund – Harrow Town Centre”. The estimated cost </w:t>
      </w:r>
      <w:r w:rsidR="00E42991" w:rsidRPr="00701C66">
        <w:rPr>
          <w:rFonts w:cs="Arial"/>
          <w:szCs w:val="24"/>
        </w:rPr>
        <w:t>of</w:t>
      </w:r>
      <w:r w:rsidRPr="00701C66">
        <w:rPr>
          <w:rFonts w:cs="Arial"/>
          <w:szCs w:val="24"/>
        </w:rPr>
        <w:t xml:space="preserve"> the revised projects are £8.282m, to be met from the remaining FHSF of £7.147m and Borough CIL match funding of £1.135m. In the approved capital programme, Borough CIL match funding of £1.760m is included based on the original project requirements. Therefore</w:t>
      </w:r>
      <w:r w:rsidR="007235F3">
        <w:rPr>
          <w:rFonts w:cs="Arial"/>
          <w:szCs w:val="24"/>
        </w:rPr>
        <w:t>,</w:t>
      </w:r>
      <w:r w:rsidRPr="00701C66">
        <w:rPr>
          <w:rFonts w:cs="Arial"/>
          <w:szCs w:val="24"/>
        </w:rPr>
        <w:t xml:space="preserve"> it is proposed that the Borough CIL budget is reduced by £625,000 in the FHSF project and reallocated to Borough CIL funded projects within the capital programme for other purposes (subject to business cases).</w:t>
      </w:r>
    </w:p>
    <w:p w14:paraId="43B666D2" w14:textId="38D9134B" w:rsidR="00BF1336" w:rsidRDefault="00BF1336" w:rsidP="00BF1336">
      <w:pPr>
        <w:pStyle w:val="ListParagraph"/>
        <w:tabs>
          <w:tab w:val="left" w:pos="142"/>
          <w:tab w:val="left" w:pos="284"/>
          <w:tab w:val="left" w:pos="709"/>
        </w:tabs>
        <w:ind w:left="709"/>
        <w:jc w:val="both"/>
        <w:rPr>
          <w:rFonts w:cs="Arial"/>
          <w:b/>
          <w:bCs/>
          <w:szCs w:val="24"/>
        </w:rPr>
      </w:pPr>
    </w:p>
    <w:p w14:paraId="521EA08D" w14:textId="7D9079BB" w:rsidR="007C5702" w:rsidRPr="005D723D" w:rsidRDefault="001C2ADC" w:rsidP="00AF06B3">
      <w:pPr>
        <w:pStyle w:val="ListParagraph"/>
        <w:numPr>
          <w:ilvl w:val="0"/>
          <w:numId w:val="5"/>
        </w:numPr>
        <w:tabs>
          <w:tab w:val="left" w:pos="567"/>
        </w:tabs>
        <w:ind w:left="567" w:hanging="567"/>
        <w:jc w:val="both"/>
        <w:rPr>
          <w:rFonts w:cs="Arial"/>
          <w:b/>
          <w:szCs w:val="24"/>
          <w:u w:val="single"/>
        </w:rPr>
      </w:pPr>
      <w:r w:rsidRPr="005D723D">
        <w:rPr>
          <w:rFonts w:cs="Arial"/>
          <w:b/>
          <w:szCs w:val="24"/>
          <w:u w:val="single"/>
        </w:rPr>
        <w:t xml:space="preserve">COUNCIL TRADING STRUCTURE UPDATE </w:t>
      </w:r>
      <w:r w:rsidR="00542808" w:rsidRPr="005D723D">
        <w:rPr>
          <w:rFonts w:cs="Arial"/>
          <w:b/>
          <w:szCs w:val="24"/>
          <w:u w:val="single"/>
        </w:rPr>
        <w:t>2022-23</w:t>
      </w:r>
      <w:r w:rsidRPr="005D723D">
        <w:rPr>
          <w:rFonts w:cs="Arial"/>
          <w:b/>
          <w:szCs w:val="24"/>
          <w:u w:val="single"/>
        </w:rPr>
        <w:t xml:space="preserve"> </w:t>
      </w:r>
    </w:p>
    <w:p w14:paraId="2651DDB3" w14:textId="6790FC6C" w:rsidR="00A2107D" w:rsidRPr="005D723D" w:rsidRDefault="007C5702" w:rsidP="00AF06B3">
      <w:pPr>
        <w:pStyle w:val="ListParagraph"/>
        <w:numPr>
          <w:ilvl w:val="1"/>
          <w:numId w:val="10"/>
        </w:numPr>
        <w:tabs>
          <w:tab w:val="left" w:pos="567"/>
        </w:tabs>
        <w:ind w:left="567" w:hanging="567"/>
        <w:jc w:val="both"/>
      </w:pPr>
      <w:r w:rsidRPr="005D723D">
        <w:rPr>
          <w:rFonts w:cs="Arial"/>
          <w:szCs w:val="24"/>
        </w:rPr>
        <w:lastRenderedPageBreak/>
        <w:t>The</w:t>
      </w:r>
      <w:r w:rsidR="001C2ADC" w:rsidRPr="005D723D">
        <w:rPr>
          <w:rFonts w:cs="Arial"/>
          <w:szCs w:val="24"/>
        </w:rPr>
        <w:t xml:space="preserve"> Council’s Trading Structure update is attached at Appendix </w:t>
      </w:r>
      <w:r w:rsidR="000153B2">
        <w:rPr>
          <w:rFonts w:cs="Arial"/>
          <w:szCs w:val="24"/>
        </w:rPr>
        <w:t>4</w:t>
      </w:r>
      <w:r w:rsidR="002C5BD7" w:rsidRPr="005D723D">
        <w:rPr>
          <w:rFonts w:cs="Arial"/>
          <w:szCs w:val="24"/>
        </w:rPr>
        <w:t xml:space="preserve"> and summarises the financial position and provides a general update on the activities of all the Council’s trading entities.</w:t>
      </w:r>
    </w:p>
    <w:p w14:paraId="0AC508FA" w14:textId="74E09B43" w:rsidR="00AE6F45" w:rsidRPr="006160A2" w:rsidRDefault="00AE6F45" w:rsidP="00755704">
      <w:pPr>
        <w:pStyle w:val="ListParagraph"/>
        <w:tabs>
          <w:tab w:val="left" w:pos="567"/>
        </w:tabs>
        <w:ind w:left="567"/>
        <w:jc w:val="both"/>
        <w:rPr>
          <w:color w:val="FF0000"/>
        </w:rPr>
      </w:pPr>
    </w:p>
    <w:p w14:paraId="7C188A0C" w14:textId="71553502" w:rsidR="00333BDE" w:rsidRPr="005D723D" w:rsidRDefault="00333BDE" w:rsidP="003634DA">
      <w:pPr>
        <w:pStyle w:val="ListParagraph"/>
        <w:tabs>
          <w:tab w:val="left" w:pos="567"/>
        </w:tabs>
        <w:ind w:left="567"/>
        <w:jc w:val="both"/>
        <w:rPr>
          <w:rFonts w:cs="Arial"/>
          <w:szCs w:val="24"/>
        </w:rPr>
      </w:pPr>
    </w:p>
    <w:p w14:paraId="6806E5E2" w14:textId="49346F46" w:rsidR="005641E0" w:rsidRPr="005D723D" w:rsidRDefault="002C5BD7" w:rsidP="00AF06B3">
      <w:pPr>
        <w:pStyle w:val="ListParagraph"/>
        <w:numPr>
          <w:ilvl w:val="0"/>
          <w:numId w:val="5"/>
        </w:numPr>
        <w:ind w:left="567" w:hanging="567"/>
        <w:jc w:val="both"/>
        <w:rPr>
          <w:b/>
          <w:szCs w:val="24"/>
          <w:u w:val="single"/>
        </w:rPr>
      </w:pPr>
      <w:r w:rsidRPr="005D723D">
        <w:rPr>
          <w:b/>
          <w:szCs w:val="24"/>
          <w:u w:val="single"/>
        </w:rPr>
        <w:t xml:space="preserve">REPORTING FOR THE </w:t>
      </w:r>
      <w:r w:rsidR="00542808" w:rsidRPr="005D723D">
        <w:rPr>
          <w:b/>
          <w:szCs w:val="24"/>
          <w:u w:val="single"/>
        </w:rPr>
        <w:t>2022-23</w:t>
      </w:r>
      <w:r w:rsidRPr="005D723D">
        <w:rPr>
          <w:b/>
          <w:szCs w:val="24"/>
          <w:u w:val="single"/>
        </w:rPr>
        <w:t xml:space="preserve"> FINANCIAL YEAR</w:t>
      </w:r>
    </w:p>
    <w:p w14:paraId="3C11B41B" w14:textId="77777777" w:rsidR="002C5BD7" w:rsidRPr="001E2F70" w:rsidRDefault="002C5BD7" w:rsidP="00487CDB">
      <w:pPr>
        <w:jc w:val="both"/>
        <w:rPr>
          <w:b/>
          <w:szCs w:val="24"/>
          <w:u w:val="single"/>
        </w:rPr>
      </w:pPr>
    </w:p>
    <w:p w14:paraId="10EF8BD3" w14:textId="4B4CBF6C" w:rsidR="005641E0" w:rsidRPr="001E2F70" w:rsidRDefault="004325F9" w:rsidP="00AF06B3">
      <w:pPr>
        <w:pStyle w:val="ListParagraph"/>
        <w:numPr>
          <w:ilvl w:val="1"/>
          <w:numId w:val="5"/>
        </w:numPr>
        <w:ind w:left="567" w:hanging="567"/>
        <w:jc w:val="both"/>
        <w:rPr>
          <w:szCs w:val="24"/>
        </w:rPr>
      </w:pPr>
      <w:r w:rsidRPr="001E2F70">
        <w:rPr>
          <w:szCs w:val="24"/>
        </w:rPr>
        <w:t>This</w:t>
      </w:r>
      <w:r w:rsidR="00F52080" w:rsidRPr="001E2F70">
        <w:rPr>
          <w:szCs w:val="24"/>
        </w:rPr>
        <w:t xml:space="preserve"> is the</w:t>
      </w:r>
      <w:r w:rsidR="00291123" w:rsidRPr="001E2F70">
        <w:rPr>
          <w:szCs w:val="24"/>
        </w:rPr>
        <w:t xml:space="preserve"> </w:t>
      </w:r>
      <w:r w:rsidR="005D723D" w:rsidRPr="001E2F70">
        <w:rPr>
          <w:szCs w:val="24"/>
        </w:rPr>
        <w:t>final</w:t>
      </w:r>
      <w:r w:rsidR="00F52080" w:rsidRPr="001E2F70">
        <w:rPr>
          <w:szCs w:val="24"/>
        </w:rPr>
        <w:t xml:space="preserve"> revenue and capital budget monitoring report for </w:t>
      </w:r>
      <w:r w:rsidR="000942BF" w:rsidRPr="001E2F70">
        <w:rPr>
          <w:szCs w:val="24"/>
        </w:rPr>
        <w:t>2022-23</w:t>
      </w:r>
    </w:p>
    <w:p w14:paraId="6DFBFED9" w14:textId="77777777" w:rsidR="000942BF" w:rsidRPr="001E2F70" w:rsidRDefault="000942BF" w:rsidP="000942BF">
      <w:pPr>
        <w:pStyle w:val="ListParagraph"/>
        <w:ind w:left="567"/>
        <w:jc w:val="both"/>
        <w:rPr>
          <w:szCs w:val="24"/>
        </w:rPr>
      </w:pPr>
    </w:p>
    <w:p w14:paraId="6963CCA6" w14:textId="31F612B0" w:rsidR="00333FAA" w:rsidRPr="001E2F70" w:rsidRDefault="00BC74D1" w:rsidP="006A200B">
      <w:pPr>
        <w:pStyle w:val="Heading2"/>
        <w:ind w:left="567" w:hanging="567"/>
        <w:jc w:val="both"/>
        <w:rPr>
          <w:sz w:val="24"/>
          <w:szCs w:val="24"/>
        </w:rPr>
      </w:pPr>
      <w:r w:rsidRPr="001E2F70">
        <w:rPr>
          <w:b w:val="0"/>
          <w:sz w:val="24"/>
          <w:szCs w:val="24"/>
        </w:rPr>
        <w:t>6</w:t>
      </w:r>
      <w:r w:rsidR="004C0103" w:rsidRPr="001E2F70">
        <w:rPr>
          <w:b w:val="0"/>
          <w:sz w:val="24"/>
          <w:szCs w:val="24"/>
        </w:rPr>
        <w:t>.0</w:t>
      </w:r>
      <w:r w:rsidR="00A80770" w:rsidRPr="001E2F70">
        <w:rPr>
          <w:sz w:val="24"/>
          <w:szCs w:val="24"/>
        </w:rPr>
        <w:t xml:space="preserve">    </w:t>
      </w:r>
      <w:r w:rsidR="00333FAA" w:rsidRPr="001E2F70">
        <w:rPr>
          <w:sz w:val="24"/>
          <w:szCs w:val="24"/>
        </w:rPr>
        <w:t>Implications of the Recommendation</w:t>
      </w:r>
    </w:p>
    <w:p w14:paraId="34AEEF65" w14:textId="4837C5E0" w:rsidR="005641E0" w:rsidRPr="005D723D" w:rsidRDefault="00A80770" w:rsidP="002E1DF4">
      <w:pPr>
        <w:ind w:left="709" w:hanging="709"/>
        <w:jc w:val="both"/>
        <w:rPr>
          <w:szCs w:val="24"/>
        </w:rPr>
      </w:pPr>
      <w:r w:rsidRPr="001E2F70">
        <w:rPr>
          <w:b/>
          <w:szCs w:val="24"/>
        </w:rPr>
        <w:t xml:space="preserve">         </w:t>
      </w:r>
      <w:r w:rsidR="006D3BD9" w:rsidRPr="001E2F70">
        <w:rPr>
          <w:szCs w:val="24"/>
        </w:rPr>
        <w:t xml:space="preserve">Implications </w:t>
      </w:r>
      <w:r w:rsidR="006D3BD9" w:rsidRPr="005D723D">
        <w:rPr>
          <w:szCs w:val="24"/>
        </w:rPr>
        <w:t>of recommendation are set out in the body of this report.</w:t>
      </w:r>
    </w:p>
    <w:p w14:paraId="3622CF88" w14:textId="42247660" w:rsidR="00955421" w:rsidRPr="005D723D" w:rsidRDefault="00955421" w:rsidP="00AF66F2">
      <w:pPr>
        <w:jc w:val="both"/>
        <w:rPr>
          <w:b/>
          <w:szCs w:val="24"/>
        </w:rPr>
      </w:pPr>
    </w:p>
    <w:p w14:paraId="70806613" w14:textId="63292056" w:rsidR="00333FAA" w:rsidRPr="005D723D" w:rsidRDefault="00BC74D1" w:rsidP="003634DA">
      <w:pPr>
        <w:pStyle w:val="Heading4"/>
        <w:tabs>
          <w:tab w:val="left" w:pos="567"/>
        </w:tabs>
        <w:jc w:val="both"/>
        <w:rPr>
          <w:szCs w:val="24"/>
        </w:rPr>
      </w:pPr>
      <w:r w:rsidRPr="005D723D">
        <w:rPr>
          <w:b w:val="0"/>
          <w:szCs w:val="24"/>
        </w:rPr>
        <w:t>7</w:t>
      </w:r>
      <w:r w:rsidR="004C0103" w:rsidRPr="005D723D">
        <w:rPr>
          <w:b w:val="0"/>
          <w:szCs w:val="24"/>
        </w:rPr>
        <w:t>.0</w:t>
      </w:r>
      <w:r w:rsidR="004C0103" w:rsidRPr="005D723D">
        <w:rPr>
          <w:b w:val="0"/>
          <w:szCs w:val="24"/>
        </w:rPr>
        <w:tab/>
      </w:r>
      <w:r w:rsidR="00333FAA" w:rsidRPr="005D723D">
        <w:rPr>
          <w:szCs w:val="24"/>
        </w:rPr>
        <w:t>Performance Issues</w:t>
      </w:r>
      <w:r w:rsidR="001C7E35" w:rsidRPr="005D723D">
        <w:rPr>
          <w:szCs w:val="24"/>
        </w:rPr>
        <w:tab/>
      </w:r>
    </w:p>
    <w:p w14:paraId="3516F3B6" w14:textId="77777777" w:rsidR="002F6F08" w:rsidRPr="005D723D" w:rsidRDefault="002F6F08" w:rsidP="003634DA">
      <w:pPr>
        <w:tabs>
          <w:tab w:val="left" w:pos="7245"/>
        </w:tabs>
        <w:ind w:left="567"/>
        <w:jc w:val="both"/>
        <w:rPr>
          <w:szCs w:val="24"/>
        </w:rPr>
      </w:pPr>
    </w:p>
    <w:p w14:paraId="2669770A" w14:textId="4355291C" w:rsidR="007935C5" w:rsidRPr="005D723D" w:rsidRDefault="007935C5" w:rsidP="003634DA">
      <w:pPr>
        <w:tabs>
          <w:tab w:val="left" w:pos="7245"/>
        </w:tabs>
        <w:ind w:left="567"/>
        <w:jc w:val="both"/>
        <w:rPr>
          <w:szCs w:val="24"/>
          <w:lang w:val="en-US"/>
        </w:rPr>
      </w:pPr>
      <w:r w:rsidRPr="005D723D">
        <w:rPr>
          <w:szCs w:val="24"/>
        </w:rPr>
        <w:t xml:space="preserve">Good financial monitoring is essential to </w:t>
      </w:r>
      <w:r w:rsidRPr="005D723D">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5D723D" w:rsidRDefault="007935C5" w:rsidP="007935C5">
      <w:pPr>
        <w:tabs>
          <w:tab w:val="left" w:pos="7245"/>
        </w:tabs>
        <w:ind w:left="709"/>
        <w:jc w:val="both"/>
        <w:rPr>
          <w:szCs w:val="24"/>
          <w:lang w:val="en-US"/>
        </w:rPr>
      </w:pPr>
    </w:p>
    <w:p w14:paraId="5E65C0F0" w14:textId="7041EDC6" w:rsidR="007935C5" w:rsidRPr="005D723D" w:rsidRDefault="005D723D" w:rsidP="003634DA">
      <w:pPr>
        <w:tabs>
          <w:tab w:val="left" w:pos="7245"/>
        </w:tabs>
        <w:ind w:left="567"/>
        <w:jc w:val="both"/>
        <w:rPr>
          <w:szCs w:val="24"/>
        </w:rPr>
      </w:pPr>
      <w:r w:rsidRPr="005D723D">
        <w:rPr>
          <w:szCs w:val="24"/>
        </w:rPr>
        <w:t xml:space="preserve">As at the end of the financial year the final </w:t>
      </w:r>
      <w:r w:rsidR="00B0172D">
        <w:rPr>
          <w:szCs w:val="24"/>
        </w:rPr>
        <w:t xml:space="preserve">revenue </w:t>
      </w:r>
      <w:r w:rsidRPr="005D723D">
        <w:rPr>
          <w:szCs w:val="24"/>
        </w:rPr>
        <w:t>outturn is a balanced position</w:t>
      </w:r>
      <w:r w:rsidR="00A66B79" w:rsidRPr="005D723D">
        <w:rPr>
          <w:szCs w:val="24"/>
        </w:rPr>
        <w:t>.</w:t>
      </w:r>
    </w:p>
    <w:p w14:paraId="72674893" w14:textId="5C26237C" w:rsidR="003B40B3" w:rsidRPr="00B0172D" w:rsidRDefault="003B40B3" w:rsidP="003B40B3">
      <w:pPr>
        <w:pStyle w:val="ListParagraph"/>
        <w:tabs>
          <w:tab w:val="left" w:pos="567"/>
        </w:tabs>
        <w:ind w:left="567" w:right="140"/>
        <w:contextualSpacing/>
        <w:jc w:val="both"/>
        <w:rPr>
          <w:rFonts w:cs="Arial"/>
          <w:szCs w:val="24"/>
        </w:rPr>
      </w:pPr>
    </w:p>
    <w:p w14:paraId="0479CE3F" w14:textId="4375E993" w:rsidR="00B0172D" w:rsidRPr="00B0172D" w:rsidRDefault="00B0172D" w:rsidP="00B0172D">
      <w:pPr>
        <w:pStyle w:val="ListParagraph"/>
        <w:tabs>
          <w:tab w:val="left" w:pos="567"/>
        </w:tabs>
        <w:ind w:left="567" w:right="140"/>
        <w:contextualSpacing/>
        <w:jc w:val="both"/>
        <w:rPr>
          <w:rFonts w:cs="Arial"/>
          <w:szCs w:val="24"/>
        </w:rPr>
      </w:pPr>
      <w:r w:rsidRPr="00B0172D">
        <w:rPr>
          <w:rFonts w:cs="Arial"/>
          <w:szCs w:val="24"/>
        </w:rPr>
        <w:t>The final outturn on the capital programme is spend of £40.376m against a total budget of £156.161</w:t>
      </w:r>
      <w:r w:rsidR="007C255E">
        <w:rPr>
          <w:rFonts w:cs="Arial"/>
          <w:szCs w:val="24"/>
        </w:rPr>
        <w:t>m</w:t>
      </w:r>
      <w:r w:rsidRPr="00B0172D">
        <w:rPr>
          <w:rFonts w:cs="Arial"/>
          <w:szCs w:val="24"/>
        </w:rPr>
        <w:t xml:space="preserve"> which represents 26% of the budget. The variance of £115.785m is made up of slippage of £98.793m and underspend of £16.993m.</w:t>
      </w:r>
    </w:p>
    <w:p w14:paraId="770A68F6" w14:textId="77777777" w:rsidR="0081366B" w:rsidRPr="005D723D" w:rsidRDefault="0081366B" w:rsidP="00AF66F2">
      <w:pPr>
        <w:tabs>
          <w:tab w:val="left" w:pos="7245"/>
        </w:tabs>
        <w:jc w:val="both"/>
        <w:rPr>
          <w:szCs w:val="24"/>
        </w:rPr>
      </w:pPr>
    </w:p>
    <w:p w14:paraId="10B45FCE" w14:textId="7FDE0066" w:rsidR="00333FAA" w:rsidRPr="005D723D" w:rsidRDefault="00BC74D1" w:rsidP="00AF66F2">
      <w:pPr>
        <w:pStyle w:val="Heading4"/>
        <w:jc w:val="both"/>
        <w:rPr>
          <w:szCs w:val="24"/>
        </w:rPr>
      </w:pPr>
      <w:r w:rsidRPr="005D723D">
        <w:rPr>
          <w:b w:val="0"/>
          <w:szCs w:val="24"/>
        </w:rPr>
        <w:t>8</w:t>
      </w:r>
      <w:r w:rsidR="004C0103" w:rsidRPr="005D723D">
        <w:rPr>
          <w:b w:val="0"/>
          <w:szCs w:val="24"/>
        </w:rPr>
        <w:t>.0</w:t>
      </w:r>
      <w:r w:rsidR="0008678F" w:rsidRPr="005D723D">
        <w:rPr>
          <w:szCs w:val="24"/>
        </w:rPr>
        <w:t xml:space="preserve">    </w:t>
      </w:r>
      <w:r w:rsidR="00333FAA" w:rsidRPr="005D723D">
        <w:rPr>
          <w:szCs w:val="24"/>
        </w:rPr>
        <w:t>Environmental Implications</w:t>
      </w:r>
    </w:p>
    <w:p w14:paraId="72CC1CBA" w14:textId="77777777" w:rsidR="000929A6" w:rsidRPr="005D723D" w:rsidRDefault="000929A6" w:rsidP="00AF66F2">
      <w:pPr>
        <w:jc w:val="both"/>
        <w:rPr>
          <w:iCs/>
          <w:szCs w:val="24"/>
        </w:rPr>
      </w:pPr>
    </w:p>
    <w:p w14:paraId="1B7702EF" w14:textId="155FCDCF" w:rsidR="000929A6" w:rsidRPr="005D723D" w:rsidRDefault="0008678F" w:rsidP="003634DA">
      <w:pPr>
        <w:jc w:val="both"/>
        <w:rPr>
          <w:szCs w:val="24"/>
        </w:rPr>
      </w:pPr>
      <w:r w:rsidRPr="005D723D">
        <w:rPr>
          <w:szCs w:val="24"/>
        </w:rPr>
        <w:t xml:space="preserve">         </w:t>
      </w:r>
      <w:r w:rsidR="005641E0" w:rsidRPr="005D723D">
        <w:rPr>
          <w:szCs w:val="24"/>
        </w:rPr>
        <w:t>There is no direct environmental impact.</w:t>
      </w:r>
    </w:p>
    <w:p w14:paraId="3FB84BF0" w14:textId="77777777" w:rsidR="00B1160D" w:rsidRPr="005D723D" w:rsidRDefault="00B1160D" w:rsidP="00AF66F2">
      <w:pPr>
        <w:jc w:val="both"/>
        <w:rPr>
          <w:szCs w:val="24"/>
        </w:rPr>
      </w:pPr>
    </w:p>
    <w:p w14:paraId="45FE986E" w14:textId="02C23F98" w:rsidR="00A81E19" w:rsidRPr="005D723D" w:rsidRDefault="00BC74D1" w:rsidP="00731669">
      <w:pPr>
        <w:pStyle w:val="Heading2"/>
        <w:ind w:left="567" w:hanging="567"/>
        <w:jc w:val="both"/>
        <w:rPr>
          <w:sz w:val="24"/>
          <w:szCs w:val="24"/>
        </w:rPr>
      </w:pPr>
      <w:r w:rsidRPr="005D723D">
        <w:rPr>
          <w:b w:val="0"/>
          <w:sz w:val="24"/>
          <w:szCs w:val="24"/>
        </w:rPr>
        <w:t>9</w:t>
      </w:r>
      <w:r w:rsidR="004C0103" w:rsidRPr="005D723D">
        <w:rPr>
          <w:b w:val="0"/>
          <w:sz w:val="24"/>
          <w:szCs w:val="24"/>
        </w:rPr>
        <w:t>.0</w:t>
      </w:r>
      <w:r w:rsidR="004C0103" w:rsidRPr="005D723D">
        <w:rPr>
          <w:sz w:val="24"/>
          <w:szCs w:val="24"/>
        </w:rPr>
        <w:tab/>
      </w:r>
      <w:r w:rsidR="00A81E19" w:rsidRPr="005D723D">
        <w:rPr>
          <w:sz w:val="24"/>
          <w:szCs w:val="24"/>
        </w:rPr>
        <w:t>Risk Management Implications</w:t>
      </w:r>
    </w:p>
    <w:p w14:paraId="532AA002" w14:textId="77777777" w:rsidR="00A81E19" w:rsidRPr="005D723D" w:rsidRDefault="00A81E19" w:rsidP="00AF66F2">
      <w:pPr>
        <w:pStyle w:val="Heading4"/>
        <w:jc w:val="both"/>
        <w:rPr>
          <w:b w:val="0"/>
          <w:szCs w:val="24"/>
        </w:rPr>
      </w:pPr>
    </w:p>
    <w:p w14:paraId="6FF7070B" w14:textId="1C50DC58" w:rsidR="009C523F" w:rsidRPr="00802AE5" w:rsidRDefault="009C523F" w:rsidP="009C523F">
      <w:pPr>
        <w:tabs>
          <w:tab w:val="left" w:pos="5610"/>
        </w:tabs>
        <w:ind w:left="567" w:right="81"/>
      </w:pPr>
      <w:r w:rsidRPr="005D723D">
        <w:rPr>
          <w:rFonts w:cs="Arial"/>
          <w:szCs w:val="24"/>
          <w:lang w:val="en-US"/>
        </w:rPr>
        <w:t xml:space="preserve">Risks included on corporate or directorate risk </w:t>
      </w:r>
      <w:proofErr w:type="gramStart"/>
      <w:r w:rsidRPr="005D723D">
        <w:rPr>
          <w:rFonts w:cs="Arial"/>
          <w:szCs w:val="24"/>
          <w:lang w:val="en-US"/>
        </w:rPr>
        <w:t>register?</w:t>
      </w:r>
      <w:proofErr w:type="gramEnd"/>
      <w:r w:rsidRPr="005D723D">
        <w:rPr>
          <w:rFonts w:cs="Arial"/>
          <w:szCs w:val="24"/>
          <w:lang w:val="en-US"/>
        </w:rPr>
        <w:t xml:space="preserve"> </w:t>
      </w:r>
      <w:r w:rsidR="00802AE5" w:rsidRPr="00802AE5">
        <w:rPr>
          <w:rFonts w:cs="Arial"/>
          <w:b/>
          <w:bCs/>
          <w:szCs w:val="24"/>
          <w:lang w:val="en-US"/>
        </w:rPr>
        <w:t xml:space="preserve"> </w:t>
      </w:r>
      <w:r w:rsidR="00FE76C6" w:rsidRPr="005D723D">
        <w:rPr>
          <w:rFonts w:cs="Arial"/>
          <w:b/>
          <w:bCs/>
          <w:szCs w:val="24"/>
          <w:lang w:val="en-US" w:eastAsia="en-GB"/>
        </w:rPr>
        <w:t>No</w:t>
      </w:r>
    </w:p>
    <w:p w14:paraId="72D63551" w14:textId="77777777" w:rsidR="009C523F" w:rsidRPr="005D723D" w:rsidRDefault="009C523F" w:rsidP="009C523F">
      <w:pPr>
        <w:ind w:left="567" w:right="141"/>
        <w:rPr>
          <w:rFonts w:cs="Arial"/>
          <w:szCs w:val="24"/>
          <w:lang w:val="en-US" w:eastAsia="en-GB"/>
        </w:rPr>
      </w:pPr>
      <w:r w:rsidRPr="005D723D">
        <w:rPr>
          <w:rFonts w:cs="Arial"/>
          <w:szCs w:val="24"/>
          <w:lang w:val="en-US" w:eastAsia="en-GB"/>
        </w:rPr>
        <w:t xml:space="preserve">  </w:t>
      </w:r>
    </w:p>
    <w:p w14:paraId="1EC85C3D" w14:textId="77777777" w:rsidR="009C523F" w:rsidRPr="005D723D" w:rsidRDefault="009C523F" w:rsidP="009C523F">
      <w:pPr>
        <w:ind w:left="567" w:right="141"/>
        <w:rPr>
          <w:rFonts w:cs="Arial"/>
          <w:szCs w:val="24"/>
          <w:lang w:val="en-US" w:eastAsia="en-GB"/>
        </w:rPr>
      </w:pPr>
      <w:r w:rsidRPr="005D723D">
        <w:rPr>
          <w:rFonts w:cs="Arial"/>
          <w:szCs w:val="24"/>
          <w:lang w:val="en-US" w:eastAsia="en-GB"/>
        </w:rPr>
        <w:t xml:space="preserve">Separate risk register in place? </w:t>
      </w:r>
      <w:r w:rsidRPr="005D723D">
        <w:rPr>
          <w:rFonts w:cs="Arial"/>
          <w:b/>
          <w:bCs/>
          <w:szCs w:val="24"/>
          <w:lang w:val="en-US" w:eastAsia="en-GB"/>
        </w:rPr>
        <w:t>No</w:t>
      </w:r>
    </w:p>
    <w:p w14:paraId="078754B9" w14:textId="77777777" w:rsidR="009C523F" w:rsidRPr="005D723D" w:rsidRDefault="009C523F" w:rsidP="009C523F">
      <w:pPr>
        <w:tabs>
          <w:tab w:val="left" w:pos="5610"/>
        </w:tabs>
        <w:ind w:left="567" w:right="81"/>
      </w:pPr>
    </w:p>
    <w:p w14:paraId="6DC9F866" w14:textId="5FC95B6F" w:rsidR="009C523F" w:rsidRPr="005D723D" w:rsidRDefault="009C523F" w:rsidP="009C523F">
      <w:pPr>
        <w:tabs>
          <w:tab w:val="left" w:pos="5610"/>
        </w:tabs>
        <w:ind w:left="567" w:right="81"/>
      </w:pPr>
      <w:r w:rsidRPr="005D723D">
        <w:t xml:space="preserve">The relevant risks contained in the register are attached/summarised below. </w:t>
      </w:r>
      <w:r w:rsidR="00802AE5">
        <w:rPr>
          <w:rFonts w:cs="Arial"/>
          <w:b/>
          <w:bCs/>
          <w:szCs w:val="24"/>
          <w:lang w:val="en-US" w:eastAsia="en-GB"/>
        </w:rPr>
        <w:t>N/A</w:t>
      </w:r>
    </w:p>
    <w:p w14:paraId="2A54CBCB" w14:textId="77777777" w:rsidR="009C523F" w:rsidRPr="005D723D" w:rsidRDefault="009C523F" w:rsidP="009C523F">
      <w:pPr>
        <w:ind w:left="-567"/>
      </w:pPr>
    </w:p>
    <w:p w14:paraId="121AF0C5" w14:textId="0A711B55" w:rsidR="009C523F" w:rsidRPr="006160A2" w:rsidRDefault="009C523F" w:rsidP="009C523F">
      <w:pPr>
        <w:ind w:left="567"/>
        <w:jc w:val="both"/>
        <w:rPr>
          <w:color w:val="FF0000"/>
        </w:rPr>
      </w:pPr>
      <w:r w:rsidRPr="005D723D">
        <w:t xml:space="preserve">The following key risks should be taken onto account when </w:t>
      </w:r>
      <w:r w:rsidR="001619BF" w:rsidRPr="005D723D">
        <w:t xml:space="preserve">noting </w:t>
      </w:r>
      <w:r w:rsidRPr="005D723D">
        <w:t>the report</w:t>
      </w:r>
      <w:r w:rsidRPr="006160A2">
        <w:rPr>
          <w:color w:val="FF0000"/>
        </w:rPr>
        <w:t>:</w:t>
      </w:r>
    </w:p>
    <w:p w14:paraId="303243C7" w14:textId="135EF01A" w:rsidR="003C7F2F" w:rsidRPr="006160A2" w:rsidRDefault="003C7F2F" w:rsidP="009C523F">
      <w:pPr>
        <w:ind w:left="567"/>
        <w:jc w:val="both"/>
        <w:rPr>
          <w:color w:val="FF0000"/>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5D723D" w:rsidRPr="005D723D" w14:paraId="5E07CB55" w14:textId="77777777" w:rsidTr="009C523F">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Pr="005D723D" w:rsidRDefault="009C523F" w:rsidP="009C523F">
            <w:pPr>
              <w:ind w:left="34" w:right="141"/>
              <w:rPr>
                <w:rFonts w:cs="Arial"/>
                <w:b/>
                <w:bCs/>
                <w:sz w:val="20"/>
                <w:lang w:val="en-US" w:eastAsia="en-GB"/>
              </w:rPr>
            </w:pPr>
            <w:r w:rsidRPr="005D723D">
              <w:rPr>
                <w:rFonts w:cs="Arial"/>
                <w:b/>
                <w:bCs/>
                <w:sz w:val="20"/>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Pr="005D723D" w:rsidRDefault="009C523F" w:rsidP="009C523F">
            <w:pPr>
              <w:ind w:right="141" w:hanging="2"/>
              <w:rPr>
                <w:rFonts w:cs="Arial"/>
                <w:b/>
                <w:bCs/>
                <w:sz w:val="20"/>
                <w:lang w:val="en-US" w:eastAsia="en-GB"/>
              </w:rPr>
            </w:pPr>
            <w:r w:rsidRPr="005D723D">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77777777" w:rsidR="009C523F" w:rsidRPr="005D723D" w:rsidRDefault="009C523F" w:rsidP="009C523F">
            <w:pPr>
              <w:ind w:left="567" w:right="141"/>
              <w:jc w:val="center"/>
              <w:rPr>
                <w:rFonts w:cs="Arial"/>
                <w:b/>
                <w:bCs/>
                <w:sz w:val="20"/>
                <w:lang w:val="en-US" w:eastAsia="en-GB"/>
              </w:rPr>
            </w:pPr>
            <w:r w:rsidRPr="005D723D">
              <w:rPr>
                <w:rFonts w:cs="Arial"/>
                <w:b/>
                <w:bCs/>
                <w:sz w:val="20"/>
                <w:lang w:val="en-US" w:eastAsia="en-GB"/>
              </w:rPr>
              <w:t xml:space="preserve">RAG Status </w:t>
            </w:r>
          </w:p>
        </w:tc>
      </w:tr>
      <w:tr w:rsidR="005D723D" w:rsidRPr="005D723D" w14:paraId="42081C92" w14:textId="77777777" w:rsidTr="005D723D">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1434" w14:textId="77777777" w:rsidR="005D723D" w:rsidRPr="005D723D" w:rsidRDefault="005D723D" w:rsidP="005D723D">
            <w:pPr>
              <w:ind w:left="34" w:right="141"/>
              <w:rPr>
                <w:rFonts w:cs="Arial"/>
                <w:sz w:val="20"/>
                <w:lang w:val="en-US" w:eastAsia="en-GB"/>
              </w:rPr>
            </w:pPr>
            <w:r w:rsidRPr="005D723D">
              <w:rPr>
                <w:rFonts w:cs="Arial"/>
                <w:sz w:val="20"/>
                <w:lang w:val="en-US" w:eastAsia="en-GB"/>
              </w:rPr>
              <w:t>Failure to deliver the revenue</w:t>
            </w:r>
          </w:p>
          <w:p w14:paraId="2F85FD9C" w14:textId="0501FCA5" w:rsidR="005D723D" w:rsidRPr="005D723D" w:rsidRDefault="005D723D" w:rsidP="005D723D">
            <w:pPr>
              <w:ind w:left="34" w:right="141"/>
              <w:rPr>
                <w:rFonts w:cs="Arial"/>
                <w:sz w:val="20"/>
                <w:lang w:val="en-US" w:eastAsia="en-GB"/>
              </w:rPr>
            </w:pPr>
            <w:r w:rsidRPr="005D723D">
              <w:rPr>
                <w:rFonts w:cs="Arial"/>
                <w:sz w:val="20"/>
                <w:lang w:val="en-US" w:eastAsia="en-GB"/>
              </w:rPr>
              <w:t xml:space="preserve">budget on target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72455" w14:textId="77069D15" w:rsidR="005D723D" w:rsidRPr="005D723D" w:rsidRDefault="005D723D" w:rsidP="005D723D">
            <w:pPr>
              <w:pStyle w:val="ListParagraph"/>
              <w:numPr>
                <w:ilvl w:val="0"/>
                <w:numId w:val="14"/>
              </w:numPr>
              <w:suppressAutoHyphens/>
              <w:autoSpaceDN w:val="0"/>
              <w:ind w:left="135" w:right="141" w:hanging="141"/>
              <w:textAlignment w:val="baseline"/>
              <w:rPr>
                <w:rFonts w:cs="Arial"/>
                <w:sz w:val="20"/>
                <w:lang w:val="en-US" w:eastAsia="en-GB"/>
              </w:rPr>
            </w:pPr>
            <w:r w:rsidRPr="005D723D">
              <w:rPr>
                <w:rFonts w:cs="Arial"/>
                <w:sz w:val="20"/>
                <w:lang w:val="en-US" w:eastAsia="en-GB"/>
              </w:rPr>
              <w:t>The final outturn is a balanced position after net draw down from reserves</w:t>
            </w:r>
          </w:p>
          <w:p w14:paraId="52DD188F" w14:textId="6E502554" w:rsidR="005D723D" w:rsidRPr="005D723D" w:rsidRDefault="005D723D" w:rsidP="005D723D">
            <w:pPr>
              <w:suppressAutoHyphens/>
              <w:autoSpaceDN w:val="0"/>
              <w:ind w:left="-6" w:right="141"/>
              <w:textAlignment w:val="baseline"/>
              <w:rPr>
                <w:rFonts w:cs="Arial"/>
                <w:sz w:val="20"/>
                <w:lang w:val="en-US" w:eastAsia="en-GB"/>
              </w:rPr>
            </w:pP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70410E0" w14:textId="3470CD19" w:rsidR="005D723D" w:rsidRPr="005D723D" w:rsidRDefault="005D723D" w:rsidP="005D723D">
            <w:pPr>
              <w:ind w:left="567" w:right="141"/>
              <w:rPr>
                <w:rFonts w:cs="Arial"/>
                <w:sz w:val="20"/>
                <w:lang w:val="en-US" w:eastAsia="en-GB"/>
              </w:rPr>
            </w:pPr>
            <w:r w:rsidRPr="005D723D">
              <w:rPr>
                <w:rFonts w:cs="Arial"/>
                <w:sz w:val="20"/>
                <w:shd w:val="clear" w:color="auto" w:fill="92D050"/>
                <w:lang w:val="en-US" w:eastAsia="en-GB"/>
              </w:rPr>
              <w:t>Gre</w:t>
            </w:r>
            <w:r w:rsidRPr="005D723D">
              <w:rPr>
                <w:rFonts w:cs="Arial"/>
                <w:sz w:val="20"/>
                <w:lang w:val="en-US" w:eastAsia="en-GB"/>
              </w:rPr>
              <w:t>en</w:t>
            </w:r>
          </w:p>
        </w:tc>
      </w:tr>
      <w:tr w:rsidR="005D723D" w:rsidRPr="005D723D" w14:paraId="78DF1768" w14:textId="77777777" w:rsidTr="002E2C9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7BFA4" w14:textId="7504BE71" w:rsidR="005D723D" w:rsidRPr="005D723D" w:rsidDel="005B587A" w:rsidRDefault="005D723D" w:rsidP="005D723D">
            <w:pPr>
              <w:ind w:left="34" w:right="141"/>
              <w:rPr>
                <w:rFonts w:cs="Arial"/>
                <w:sz w:val="20"/>
                <w:lang w:val="en-US" w:eastAsia="en-GB"/>
              </w:rPr>
            </w:pPr>
            <w:r w:rsidRPr="005D723D">
              <w:rPr>
                <w:rFonts w:cs="Arial"/>
                <w:sz w:val="20"/>
                <w:lang w:val="en-US" w:eastAsia="en-GB"/>
              </w:rPr>
              <w:t xml:space="preserve">The forecast overspend will continue into the following year leading to an adverse impact on </w:t>
            </w:r>
            <w:r w:rsidRPr="005D723D">
              <w:rPr>
                <w:rFonts w:cs="Arial"/>
                <w:sz w:val="20"/>
                <w:lang w:val="en-US" w:eastAsia="en-GB"/>
              </w:rPr>
              <w:lastRenderedPageBreak/>
              <w:t>financial performance in 2023/24</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FDD14" w14:textId="48198712" w:rsidR="005D723D" w:rsidRPr="005D723D" w:rsidDel="005B587A" w:rsidRDefault="005D723D" w:rsidP="005D723D">
            <w:pPr>
              <w:pStyle w:val="ListParagraph"/>
              <w:numPr>
                <w:ilvl w:val="0"/>
                <w:numId w:val="32"/>
              </w:numPr>
              <w:suppressAutoHyphens/>
              <w:autoSpaceDN w:val="0"/>
              <w:ind w:left="135" w:right="141" w:hanging="135"/>
              <w:textAlignment w:val="baseline"/>
              <w:rPr>
                <w:rFonts w:cs="Arial"/>
                <w:sz w:val="20"/>
                <w:lang w:val="en-US" w:eastAsia="en-GB"/>
              </w:rPr>
            </w:pPr>
            <w:r w:rsidRPr="005D723D">
              <w:rPr>
                <w:rFonts w:cs="Arial"/>
                <w:sz w:val="20"/>
                <w:lang w:val="en-US" w:eastAsia="en-GB"/>
              </w:rPr>
              <w:lastRenderedPageBreak/>
              <w:t xml:space="preserve">The expenditure pressure areas from 2022/23 are reflected in the budget setting process for 2023/24. </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4D134B0" w14:textId="0736FB71" w:rsidR="005D723D" w:rsidRPr="005D723D" w:rsidDel="005B587A" w:rsidRDefault="005D723D" w:rsidP="005D723D">
            <w:pPr>
              <w:ind w:left="567" w:right="141"/>
              <w:rPr>
                <w:rFonts w:cs="Arial"/>
                <w:sz w:val="20"/>
                <w:lang w:val="en-US" w:eastAsia="en-GB"/>
              </w:rPr>
            </w:pPr>
            <w:r w:rsidRPr="005D723D">
              <w:rPr>
                <w:rFonts w:cs="Arial"/>
                <w:sz w:val="20"/>
                <w:lang w:val="en-US" w:eastAsia="en-GB"/>
              </w:rPr>
              <w:t>Green</w:t>
            </w:r>
          </w:p>
        </w:tc>
      </w:tr>
      <w:tr w:rsidR="005D723D" w:rsidRPr="005D723D" w14:paraId="710544DD" w14:textId="77777777" w:rsidTr="002E0F2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1868" w14:textId="2E34335F" w:rsidR="005D723D" w:rsidRPr="005D723D" w:rsidDel="005B587A" w:rsidRDefault="005D723D" w:rsidP="005D723D">
            <w:pPr>
              <w:ind w:left="34" w:right="141"/>
              <w:rPr>
                <w:rFonts w:cs="Arial"/>
                <w:sz w:val="20"/>
                <w:lang w:val="en-US" w:eastAsia="en-GB"/>
              </w:rPr>
            </w:pPr>
            <w:bookmarkStart w:id="8" w:name="_Hlk120521955"/>
            <w:r w:rsidRPr="005D723D">
              <w:rPr>
                <w:rFonts w:cs="Arial"/>
                <w:sz w:val="20"/>
                <w:lang w:val="en-US" w:eastAsia="en-GB"/>
              </w:rPr>
              <w:t xml:space="preserve">Projects within the Capital Programme exceed their budget, potentially resulting in additional capital financing costs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43F2" w14:textId="5282C949" w:rsidR="005D723D" w:rsidRPr="005D723D" w:rsidRDefault="005D723D" w:rsidP="005D723D">
            <w:pPr>
              <w:pStyle w:val="ListParagraph"/>
              <w:numPr>
                <w:ilvl w:val="0"/>
                <w:numId w:val="32"/>
              </w:numPr>
              <w:ind w:left="135" w:hanging="135"/>
              <w:rPr>
                <w:rFonts w:ascii="Calibri" w:hAnsi="Calibri"/>
                <w:sz w:val="20"/>
              </w:rPr>
            </w:pPr>
            <w:r w:rsidRPr="005D723D">
              <w:rPr>
                <w:sz w:val="20"/>
              </w:rPr>
              <w:t xml:space="preserve">If projects exceed their costs, Directorates would be asked to find compensatory savings elsewhere in the programme to cover the overspend.  In the worst-case scenario, a council wide capital budget is held and a virement would be carried out to offset the overspend. </w:t>
            </w:r>
          </w:p>
          <w:p w14:paraId="150DFF16" w14:textId="2E3E5926" w:rsidR="005D723D" w:rsidRPr="005D723D" w:rsidDel="005B587A" w:rsidRDefault="005D723D" w:rsidP="005D723D">
            <w:pPr>
              <w:rPr>
                <w:rFonts w:cs="Arial"/>
                <w:sz w:val="22"/>
                <w:szCs w:val="22"/>
                <w:lang w:val="en-US" w:eastAsia="en-GB"/>
              </w:rPr>
            </w:pP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4FFB666" w14:textId="5FBDD41D" w:rsidR="005D723D" w:rsidRPr="005D723D" w:rsidDel="005B587A" w:rsidRDefault="005D723D" w:rsidP="005D723D">
            <w:pPr>
              <w:ind w:left="567" w:right="141"/>
              <w:rPr>
                <w:rFonts w:cs="Arial"/>
                <w:sz w:val="20"/>
                <w:lang w:val="en-US" w:eastAsia="en-GB"/>
              </w:rPr>
            </w:pPr>
            <w:r w:rsidRPr="005D723D">
              <w:rPr>
                <w:rFonts w:cs="Arial"/>
                <w:sz w:val="20"/>
                <w:lang w:val="en-US" w:eastAsia="en-GB"/>
              </w:rPr>
              <w:t>Green</w:t>
            </w:r>
          </w:p>
        </w:tc>
      </w:tr>
      <w:bookmarkEnd w:id="8"/>
      <w:tr w:rsidR="005D723D" w:rsidRPr="005D723D" w14:paraId="4D78FAF2" w14:textId="77777777" w:rsidTr="002E0F2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95D79" w14:textId="3574DC5B" w:rsidR="005D723D" w:rsidRPr="005D723D" w:rsidRDefault="005D723D" w:rsidP="005D723D">
            <w:pPr>
              <w:ind w:left="34" w:right="141"/>
              <w:rPr>
                <w:rFonts w:cs="Arial"/>
                <w:sz w:val="20"/>
                <w:lang w:val="en-US" w:eastAsia="en-GB"/>
              </w:rPr>
            </w:pPr>
            <w:r w:rsidRPr="005D723D">
              <w:rPr>
                <w:rFonts w:cs="Arial"/>
                <w:sz w:val="20"/>
                <w:lang w:val="en-US" w:eastAsia="en-GB"/>
              </w:rPr>
              <w:t>Additions to the capital programme occur that 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3D80E" w14:textId="272D7D67" w:rsidR="005D723D" w:rsidRPr="005D723D" w:rsidRDefault="005D723D" w:rsidP="005D723D">
            <w:pPr>
              <w:pStyle w:val="ListParagraph"/>
              <w:numPr>
                <w:ilvl w:val="0"/>
                <w:numId w:val="32"/>
              </w:numPr>
              <w:suppressAutoHyphens/>
              <w:autoSpaceDN w:val="0"/>
              <w:ind w:left="135" w:right="141" w:hanging="141"/>
              <w:textAlignment w:val="baseline"/>
              <w:rPr>
                <w:rFonts w:cs="Arial"/>
                <w:sz w:val="20"/>
                <w:lang w:val="en-US" w:eastAsia="en-GB"/>
              </w:rPr>
            </w:pPr>
            <w:r w:rsidRPr="005D723D">
              <w:rPr>
                <w:rFonts w:cs="Arial"/>
                <w:sz w:val="20"/>
                <w:lang w:val="en-US" w:eastAsia="en-GB"/>
              </w:rPr>
              <w:t>Funded by additional grants and contributions thus no additional capital financing costs will be incurred</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C04568B" w14:textId="38EB490B" w:rsidR="005D723D" w:rsidRPr="005D723D" w:rsidRDefault="005D723D" w:rsidP="005D723D">
            <w:pPr>
              <w:ind w:left="567" w:right="141"/>
              <w:rPr>
                <w:rFonts w:cs="Arial"/>
                <w:sz w:val="20"/>
                <w:lang w:val="en-US" w:eastAsia="en-GB"/>
              </w:rPr>
            </w:pPr>
            <w:r w:rsidRPr="005D723D">
              <w:rPr>
                <w:rFonts w:cs="Arial"/>
                <w:sz w:val="20"/>
                <w:lang w:val="en-US" w:eastAsia="en-GB"/>
              </w:rPr>
              <w:t>Green</w:t>
            </w:r>
          </w:p>
        </w:tc>
      </w:tr>
    </w:tbl>
    <w:p w14:paraId="0AE9056F" w14:textId="13C00067" w:rsidR="009C523F" w:rsidRPr="006160A2" w:rsidRDefault="009C523F" w:rsidP="00731669">
      <w:pPr>
        <w:ind w:left="567"/>
        <w:jc w:val="both"/>
        <w:rPr>
          <w:color w:val="FF0000"/>
          <w:szCs w:val="24"/>
          <w:lang w:val="en-US"/>
        </w:rPr>
      </w:pPr>
    </w:p>
    <w:p w14:paraId="3A64D6CD" w14:textId="710E6B54" w:rsidR="002A3FEF" w:rsidRPr="005D723D" w:rsidRDefault="00BC74D1" w:rsidP="00731669">
      <w:pPr>
        <w:pStyle w:val="Heading2"/>
        <w:tabs>
          <w:tab w:val="left" w:pos="567"/>
        </w:tabs>
        <w:jc w:val="both"/>
        <w:rPr>
          <w:sz w:val="24"/>
          <w:szCs w:val="24"/>
        </w:rPr>
      </w:pPr>
      <w:r w:rsidRPr="005D723D">
        <w:rPr>
          <w:b w:val="0"/>
          <w:sz w:val="24"/>
          <w:szCs w:val="24"/>
        </w:rPr>
        <w:t>10</w:t>
      </w:r>
      <w:r w:rsidR="004C0103" w:rsidRPr="005D723D">
        <w:rPr>
          <w:b w:val="0"/>
          <w:sz w:val="24"/>
          <w:szCs w:val="24"/>
        </w:rPr>
        <w:t>.0</w:t>
      </w:r>
      <w:r w:rsidR="004C0103" w:rsidRPr="005D723D">
        <w:rPr>
          <w:sz w:val="24"/>
          <w:szCs w:val="24"/>
        </w:rPr>
        <w:tab/>
      </w:r>
      <w:r w:rsidR="002A3FEF" w:rsidRPr="005D723D">
        <w:rPr>
          <w:sz w:val="24"/>
          <w:szCs w:val="24"/>
        </w:rPr>
        <w:t xml:space="preserve">Procurement Implications </w:t>
      </w:r>
    </w:p>
    <w:p w14:paraId="49913689" w14:textId="77777777" w:rsidR="005641E0" w:rsidRPr="005D723D" w:rsidRDefault="005641E0" w:rsidP="00731669">
      <w:pPr>
        <w:tabs>
          <w:tab w:val="left" w:pos="567"/>
        </w:tabs>
        <w:jc w:val="both"/>
        <w:rPr>
          <w:szCs w:val="24"/>
        </w:rPr>
      </w:pPr>
    </w:p>
    <w:p w14:paraId="239736E3" w14:textId="05832F7C" w:rsidR="00367FA9" w:rsidRPr="005D723D" w:rsidRDefault="00CC3A3C" w:rsidP="005D723D">
      <w:pPr>
        <w:tabs>
          <w:tab w:val="left" w:pos="567"/>
        </w:tabs>
        <w:ind w:left="567"/>
        <w:jc w:val="both"/>
        <w:rPr>
          <w:szCs w:val="24"/>
        </w:rPr>
      </w:pPr>
      <w:r w:rsidRPr="005D723D">
        <w:rPr>
          <w:szCs w:val="24"/>
        </w:rPr>
        <w:t>Any procurement arising from this report will be supported by the Procurement Team and will be undertaken compliant with the Public Contract Regulations 2015 and the Council’s Contract Procedure Rules.</w:t>
      </w:r>
    </w:p>
    <w:p w14:paraId="1873FC71" w14:textId="34A83F16" w:rsidR="000F601E" w:rsidRPr="005D723D" w:rsidRDefault="000F601E" w:rsidP="00731669">
      <w:pPr>
        <w:tabs>
          <w:tab w:val="left" w:pos="567"/>
        </w:tabs>
        <w:ind w:left="567"/>
        <w:jc w:val="both"/>
        <w:rPr>
          <w:szCs w:val="24"/>
        </w:rPr>
      </w:pPr>
    </w:p>
    <w:p w14:paraId="2E49614D" w14:textId="77777777" w:rsidR="002A3FEF" w:rsidRPr="005D723D" w:rsidRDefault="002A3FEF" w:rsidP="00AF66F2">
      <w:pPr>
        <w:pStyle w:val="Heading2"/>
        <w:jc w:val="both"/>
        <w:rPr>
          <w:sz w:val="24"/>
          <w:szCs w:val="24"/>
        </w:rPr>
      </w:pPr>
    </w:p>
    <w:p w14:paraId="50268769" w14:textId="7D25E6A8" w:rsidR="00333FAA" w:rsidRPr="005D723D" w:rsidRDefault="000058C5" w:rsidP="00731669">
      <w:pPr>
        <w:pStyle w:val="Heading2"/>
        <w:ind w:left="567" w:hanging="567"/>
        <w:jc w:val="both"/>
        <w:rPr>
          <w:sz w:val="24"/>
          <w:szCs w:val="24"/>
        </w:rPr>
      </w:pPr>
      <w:r w:rsidRPr="005D723D">
        <w:rPr>
          <w:b w:val="0"/>
          <w:sz w:val="24"/>
          <w:szCs w:val="24"/>
        </w:rPr>
        <w:t>1</w:t>
      </w:r>
      <w:r w:rsidR="00BC74D1" w:rsidRPr="005D723D">
        <w:rPr>
          <w:b w:val="0"/>
          <w:sz w:val="24"/>
          <w:szCs w:val="24"/>
        </w:rPr>
        <w:t>1</w:t>
      </w:r>
      <w:r w:rsidR="00E269CF" w:rsidRPr="005D723D">
        <w:rPr>
          <w:b w:val="0"/>
          <w:sz w:val="24"/>
          <w:szCs w:val="24"/>
        </w:rPr>
        <w:t>.0</w:t>
      </w:r>
      <w:r w:rsidR="00E269CF" w:rsidRPr="005D723D">
        <w:rPr>
          <w:sz w:val="24"/>
          <w:szCs w:val="24"/>
        </w:rPr>
        <w:tab/>
      </w:r>
      <w:r w:rsidR="00333FAA" w:rsidRPr="005D723D">
        <w:rPr>
          <w:sz w:val="24"/>
          <w:szCs w:val="24"/>
        </w:rPr>
        <w:t>Legal Implications</w:t>
      </w:r>
    </w:p>
    <w:p w14:paraId="7125A913" w14:textId="77777777" w:rsidR="005641E0" w:rsidRPr="005D723D" w:rsidRDefault="005641E0" w:rsidP="00AF66F2">
      <w:pPr>
        <w:jc w:val="both"/>
        <w:rPr>
          <w:szCs w:val="24"/>
        </w:rPr>
      </w:pPr>
    </w:p>
    <w:p w14:paraId="4CD42740" w14:textId="7B3E343E" w:rsidR="005641E0" w:rsidRPr="005D723D" w:rsidRDefault="005641E0" w:rsidP="00731669">
      <w:pPr>
        <w:ind w:left="567"/>
        <w:jc w:val="both"/>
        <w:rPr>
          <w:szCs w:val="24"/>
        </w:rPr>
      </w:pPr>
      <w:r w:rsidRPr="005D723D">
        <w:rPr>
          <w:szCs w:val="24"/>
        </w:rPr>
        <w:t xml:space="preserve">Section 151 of the Local Government Act 1972 states that without prejudice to section 111, every local authority shall </w:t>
      </w:r>
      <w:proofErr w:type="gramStart"/>
      <w:r w:rsidRPr="005D723D">
        <w:rPr>
          <w:szCs w:val="24"/>
        </w:rPr>
        <w:t>make arrangements</w:t>
      </w:r>
      <w:proofErr w:type="gramEnd"/>
      <w:r w:rsidRPr="005D723D">
        <w:rPr>
          <w:szCs w:val="24"/>
        </w:rPr>
        <w:t xml:space="preserve">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1C6737DF" w14:textId="3ED7178A" w:rsidR="00EF4214" w:rsidRPr="005D723D" w:rsidRDefault="00EF4214" w:rsidP="00731669">
      <w:pPr>
        <w:ind w:left="567"/>
        <w:jc w:val="both"/>
        <w:rPr>
          <w:szCs w:val="24"/>
        </w:rPr>
      </w:pPr>
    </w:p>
    <w:p w14:paraId="5CAEE571" w14:textId="3FF360A3" w:rsidR="00EF4214" w:rsidRPr="005D723D" w:rsidRDefault="00EF4214" w:rsidP="00731669">
      <w:pPr>
        <w:ind w:left="567"/>
        <w:jc w:val="both"/>
        <w:rPr>
          <w:szCs w:val="24"/>
        </w:rPr>
      </w:pPr>
      <w:r w:rsidRPr="005D723D">
        <w:rPr>
          <w:szCs w:val="24"/>
        </w:rPr>
        <w:t>Under the Financial Regulations B48 Additions in year to the Capital Programme</w:t>
      </w:r>
    </w:p>
    <w:p w14:paraId="76CF2627" w14:textId="03F79750" w:rsidR="00EF4214" w:rsidRPr="005D723D" w:rsidRDefault="00EF4214" w:rsidP="00731669">
      <w:pPr>
        <w:ind w:left="567"/>
        <w:jc w:val="both"/>
        <w:rPr>
          <w:szCs w:val="24"/>
        </w:rPr>
      </w:pPr>
    </w:p>
    <w:p w14:paraId="4C749654" w14:textId="7257AA42" w:rsidR="00EF4214" w:rsidRPr="005D723D" w:rsidRDefault="00EF4214" w:rsidP="00731669">
      <w:pPr>
        <w:ind w:left="567"/>
        <w:jc w:val="both"/>
        <w:rPr>
          <w:szCs w:val="24"/>
        </w:rPr>
      </w:pPr>
      <w:r w:rsidRPr="005D723D">
        <w:rPr>
          <w:szCs w:val="24"/>
        </w:rPr>
        <w:t>Up to £5m – additional capital spending can be approved by Cabinet on specific projects where</w:t>
      </w:r>
    </w:p>
    <w:p w14:paraId="282B9519" w14:textId="0C47C959" w:rsidR="00EF4214" w:rsidRPr="005D723D" w:rsidRDefault="00EF4214" w:rsidP="00EF4214">
      <w:pPr>
        <w:pStyle w:val="ListParagraph"/>
        <w:numPr>
          <w:ilvl w:val="0"/>
          <w:numId w:val="29"/>
        </w:numPr>
        <w:jc w:val="both"/>
        <w:rPr>
          <w:szCs w:val="24"/>
        </w:rPr>
      </w:pPr>
      <w:r w:rsidRPr="005D723D">
        <w:rPr>
          <w:szCs w:val="24"/>
        </w:rPr>
        <w:t xml:space="preserve">The expenditure is wholly covered by additional external sources; and </w:t>
      </w:r>
    </w:p>
    <w:p w14:paraId="39040405" w14:textId="4D4A7D76" w:rsidR="00EF4214" w:rsidRPr="005D723D" w:rsidRDefault="00EF4214" w:rsidP="00EF4214">
      <w:pPr>
        <w:pStyle w:val="ListParagraph"/>
        <w:numPr>
          <w:ilvl w:val="0"/>
          <w:numId w:val="29"/>
        </w:numPr>
        <w:jc w:val="both"/>
        <w:rPr>
          <w:szCs w:val="24"/>
        </w:rPr>
      </w:pPr>
      <w:r w:rsidRPr="005D723D">
        <w:rPr>
          <w:szCs w:val="24"/>
        </w:rPr>
        <w:t>The expenditure is in accordance with at least one of the priorities listed in the capital programme; and</w:t>
      </w:r>
    </w:p>
    <w:p w14:paraId="3E4D56B6" w14:textId="2FA0508E" w:rsidR="00EF4214" w:rsidRPr="005D723D" w:rsidRDefault="00EF4214" w:rsidP="00EF4214">
      <w:pPr>
        <w:pStyle w:val="ListParagraph"/>
        <w:numPr>
          <w:ilvl w:val="0"/>
          <w:numId w:val="29"/>
        </w:numPr>
        <w:jc w:val="both"/>
        <w:rPr>
          <w:szCs w:val="24"/>
        </w:rPr>
      </w:pPr>
      <w:r w:rsidRPr="005D723D">
        <w:rPr>
          <w:szCs w:val="24"/>
        </w:rPr>
        <w:t>There are no full year revenue budget effects</w:t>
      </w:r>
    </w:p>
    <w:p w14:paraId="343F316D" w14:textId="2B14BC18" w:rsidR="00EF4214" w:rsidRPr="005D723D" w:rsidRDefault="00EF4214" w:rsidP="00EF4214">
      <w:pPr>
        <w:jc w:val="both"/>
        <w:rPr>
          <w:szCs w:val="24"/>
        </w:rPr>
      </w:pPr>
    </w:p>
    <w:p w14:paraId="5580B5B7" w14:textId="6D292A73" w:rsidR="00EF4214" w:rsidRPr="005D723D" w:rsidRDefault="00EF4214" w:rsidP="00EF4214">
      <w:pPr>
        <w:ind w:left="567"/>
        <w:jc w:val="both"/>
        <w:rPr>
          <w:szCs w:val="24"/>
        </w:rPr>
      </w:pPr>
      <w:r w:rsidRPr="005D723D">
        <w:rPr>
          <w:szCs w:val="24"/>
        </w:rPr>
        <w:t>The additional capital spending agreed by Cabinet in one financial year cannot exceed £20 million.</w:t>
      </w:r>
    </w:p>
    <w:p w14:paraId="5D3C79B0" w14:textId="74152BB4" w:rsidR="00E81EEA" w:rsidRPr="005D723D" w:rsidRDefault="00E81EEA" w:rsidP="00731669">
      <w:pPr>
        <w:ind w:left="567"/>
        <w:jc w:val="both"/>
        <w:rPr>
          <w:szCs w:val="24"/>
        </w:rPr>
      </w:pPr>
    </w:p>
    <w:p w14:paraId="1222B777" w14:textId="6FAC4362" w:rsidR="0054590F" w:rsidRDefault="00E269CF" w:rsidP="00731669">
      <w:pPr>
        <w:pStyle w:val="Heading2"/>
        <w:ind w:left="567" w:hanging="567"/>
        <w:jc w:val="both"/>
        <w:rPr>
          <w:sz w:val="24"/>
          <w:szCs w:val="24"/>
        </w:rPr>
      </w:pPr>
      <w:r w:rsidRPr="005D723D">
        <w:rPr>
          <w:b w:val="0"/>
          <w:sz w:val="24"/>
          <w:szCs w:val="24"/>
        </w:rPr>
        <w:t>1</w:t>
      </w:r>
      <w:r w:rsidR="00BC74D1" w:rsidRPr="005D723D">
        <w:rPr>
          <w:b w:val="0"/>
          <w:sz w:val="24"/>
          <w:szCs w:val="24"/>
        </w:rPr>
        <w:t>2</w:t>
      </w:r>
      <w:r w:rsidRPr="005D723D">
        <w:rPr>
          <w:b w:val="0"/>
          <w:sz w:val="24"/>
          <w:szCs w:val="24"/>
        </w:rPr>
        <w:t>.0</w:t>
      </w:r>
      <w:r w:rsidRPr="005D723D">
        <w:rPr>
          <w:sz w:val="24"/>
          <w:szCs w:val="24"/>
        </w:rPr>
        <w:tab/>
      </w:r>
      <w:r w:rsidR="00333FAA" w:rsidRPr="005D723D">
        <w:rPr>
          <w:sz w:val="24"/>
          <w:szCs w:val="24"/>
        </w:rPr>
        <w:t>Financial Implications</w:t>
      </w:r>
    </w:p>
    <w:p w14:paraId="3EA1F4BF" w14:textId="77777777" w:rsidR="00922DD2" w:rsidRPr="00922DD2" w:rsidRDefault="00922DD2" w:rsidP="00922DD2"/>
    <w:p w14:paraId="58E51DB5" w14:textId="77777777" w:rsidR="0054590F" w:rsidRPr="005D723D" w:rsidRDefault="00E269CF" w:rsidP="00731669">
      <w:pPr>
        <w:tabs>
          <w:tab w:val="left" w:pos="709"/>
        </w:tabs>
        <w:ind w:left="567" w:hanging="567"/>
        <w:jc w:val="both"/>
        <w:rPr>
          <w:szCs w:val="24"/>
        </w:rPr>
      </w:pPr>
      <w:r w:rsidRPr="005D723D">
        <w:rPr>
          <w:szCs w:val="24"/>
        </w:rPr>
        <w:tab/>
      </w:r>
      <w:r w:rsidR="005641E0" w:rsidRPr="005D723D">
        <w:rPr>
          <w:szCs w:val="24"/>
        </w:rPr>
        <w:t>Financial matters are integral to this report.</w:t>
      </w:r>
    </w:p>
    <w:p w14:paraId="68B17B8C" w14:textId="5A13EA55" w:rsidR="001C7E35" w:rsidRDefault="001C7E35" w:rsidP="00AF66F2">
      <w:pPr>
        <w:pStyle w:val="Heading2"/>
        <w:jc w:val="both"/>
        <w:rPr>
          <w:sz w:val="24"/>
          <w:szCs w:val="24"/>
        </w:rPr>
      </w:pPr>
    </w:p>
    <w:p w14:paraId="491199D7" w14:textId="4347BA93" w:rsidR="00922DD2" w:rsidRDefault="00922DD2" w:rsidP="00922DD2"/>
    <w:p w14:paraId="31CD81B4" w14:textId="77777777" w:rsidR="00922DD2" w:rsidRPr="00922DD2" w:rsidRDefault="00922DD2" w:rsidP="00922DD2"/>
    <w:p w14:paraId="7BDD9F0B" w14:textId="42F58AC2" w:rsidR="00333FAA" w:rsidRPr="005D723D" w:rsidRDefault="00E269CF" w:rsidP="00731669">
      <w:pPr>
        <w:pStyle w:val="Heading2"/>
        <w:keepNext/>
        <w:ind w:left="567" w:hanging="567"/>
        <w:jc w:val="both"/>
        <w:rPr>
          <w:sz w:val="24"/>
          <w:szCs w:val="24"/>
        </w:rPr>
      </w:pPr>
      <w:r w:rsidRPr="005D723D">
        <w:rPr>
          <w:b w:val="0"/>
          <w:sz w:val="24"/>
          <w:szCs w:val="24"/>
        </w:rPr>
        <w:lastRenderedPageBreak/>
        <w:t>1</w:t>
      </w:r>
      <w:r w:rsidR="00BC74D1" w:rsidRPr="005D723D">
        <w:rPr>
          <w:b w:val="0"/>
          <w:sz w:val="24"/>
          <w:szCs w:val="24"/>
        </w:rPr>
        <w:t>3.</w:t>
      </w:r>
      <w:r w:rsidRPr="005D723D">
        <w:rPr>
          <w:b w:val="0"/>
          <w:sz w:val="24"/>
          <w:szCs w:val="24"/>
        </w:rPr>
        <w:t>0</w:t>
      </w:r>
      <w:r w:rsidRPr="005D723D">
        <w:rPr>
          <w:sz w:val="24"/>
          <w:szCs w:val="24"/>
        </w:rPr>
        <w:tab/>
      </w:r>
      <w:r w:rsidR="00333FAA" w:rsidRPr="005D723D">
        <w:rPr>
          <w:sz w:val="24"/>
          <w:szCs w:val="24"/>
        </w:rPr>
        <w:t>Equalities implications</w:t>
      </w:r>
      <w:r w:rsidR="001C7E35" w:rsidRPr="005D723D">
        <w:rPr>
          <w:sz w:val="24"/>
          <w:szCs w:val="24"/>
        </w:rPr>
        <w:t xml:space="preserve"> </w:t>
      </w:r>
      <w:r w:rsidR="00333FAA" w:rsidRPr="005D723D">
        <w:rPr>
          <w:sz w:val="24"/>
          <w:szCs w:val="24"/>
        </w:rPr>
        <w:t>/</w:t>
      </w:r>
      <w:r w:rsidR="001C7E35" w:rsidRPr="005D723D">
        <w:rPr>
          <w:sz w:val="24"/>
          <w:szCs w:val="24"/>
        </w:rPr>
        <w:t xml:space="preserve"> </w:t>
      </w:r>
      <w:r w:rsidR="00333FAA" w:rsidRPr="005D723D">
        <w:rPr>
          <w:sz w:val="24"/>
          <w:szCs w:val="24"/>
        </w:rPr>
        <w:t>Public Sector Equality Duty</w:t>
      </w:r>
    </w:p>
    <w:p w14:paraId="2187A39A" w14:textId="77777777" w:rsidR="00990FE6" w:rsidRPr="005D723D" w:rsidRDefault="00990FE6" w:rsidP="00731669">
      <w:pPr>
        <w:ind w:left="567" w:hanging="567"/>
      </w:pPr>
    </w:p>
    <w:p w14:paraId="5D5B50CF" w14:textId="22DC888A" w:rsidR="00731669" w:rsidRPr="005D723D" w:rsidRDefault="00731669" w:rsidP="00731669">
      <w:pPr>
        <w:ind w:left="567" w:hanging="567"/>
      </w:pPr>
      <w:r w:rsidRPr="005D723D">
        <w:t xml:space="preserve">13.1 </w:t>
      </w:r>
      <w:r w:rsidR="00990FE6" w:rsidRPr="005D723D">
        <w:t>Decision makers should have due regard to the public sector equality duty in making their decisions. The equalities duties are continuing duties they are not duties to secure a particular outcome. The equalities impact will be revisited on each of the</w:t>
      </w:r>
      <w:r w:rsidR="00372313" w:rsidRPr="005D723D">
        <w:t xml:space="preserve"> budget</w:t>
      </w:r>
      <w:r w:rsidR="00990FE6" w:rsidRPr="005D723D">
        <w:t xml:space="preserve"> proposals as they are developed. Consideration of the duties should prec</w:t>
      </w:r>
      <w:r w:rsidR="00C75F94" w:rsidRPr="005D723D">
        <w:t xml:space="preserve">ede </w:t>
      </w:r>
      <w:r w:rsidR="00990FE6" w:rsidRPr="005D723D">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Pr="005D723D" w:rsidRDefault="00731669" w:rsidP="00731669">
      <w:pPr>
        <w:ind w:left="567" w:hanging="567"/>
      </w:pPr>
    </w:p>
    <w:p w14:paraId="7B11E615" w14:textId="1589DE9E" w:rsidR="00990FE6" w:rsidRPr="005D723D" w:rsidRDefault="00731669" w:rsidP="00731669">
      <w:pPr>
        <w:ind w:left="567" w:hanging="567"/>
      </w:pPr>
      <w:r w:rsidRPr="005D723D">
        <w:t xml:space="preserve">13.2 </w:t>
      </w:r>
      <w:r w:rsidR="00990FE6" w:rsidRPr="005D723D">
        <w:t>A public authority must, in the exercise of its functions, have due regard to the need to:</w:t>
      </w:r>
    </w:p>
    <w:p w14:paraId="568C4E6B" w14:textId="77777777" w:rsidR="00F17392" w:rsidRPr="005D723D" w:rsidRDefault="00F17392" w:rsidP="00F17392">
      <w:pPr>
        <w:ind w:left="709"/>
      </w:pPr>
    </w:p>
    <w:p w14:paraId="78B4BCD2" w14:textId="10DBA6BF" w:rsidR="00990FE6" w:rsidRPr="005D723D" w:rsidRDefault="00990FE6" w:rsidP="00AF06B3">
      <w:pPr>
        <w:pStyle w:val="ListParagraph"/>
        <w:numPr>
          <w:ilvl w:val="0"/>
          <w:numId w:val="6"/>
        </w:numPr>
        <w:ind w:hanging="578"/>
      </w:pPr>
      <w:r w:rsidRPr="005D723D">
        <w:t xml:space="preserve">eliminate discrimination, harassment, victimisation and any other conduct that is prohibited by or under this </w:t>
      </w:r>
      <w:proofErr w:type="gramStart"/>
      <w:r w:rsidRPr="005D723D">
        <w:t>Act;</w:t>
      </w:r>
      <w:proofErr w:type="gramEnd"/>
    </w:p>
    <w:p w14:paraId="48BCB49B" w14:textId="1A723A80" w:rsidR="00990FE6" w:rsidRPr="005D723D" w:rsidRDefault="00990FE6" w:rsidP="00AF06B3">
      <w:pPr>
        <w:pStyle w:val="ListParagraph"/>
        <w:numPr>
          <w:ilvl w:val="0"/>
          <w:numId w:val="6"/>
        </w:numPr>
        <w:ind w:hanging="578"/>
      </w:pPr>
      <w:r w:rsidRPr="005D723D">
        <w:t xml:space="preserve">advance equality of opportunity between persons who share a relevant protected characteristic and persons who do not share </w:t>
      </w:r>
      <w:proofErr w:type="gramStart"/>
      <w:r w:rsidRPr="005D723D">
        <w:t>it;</w:t>
      </w:r>
      <w:proofErr w:type="gramEnd"/>
    </w:p>
    <w:p w14:paraId="0A6982F1" w14:textId="2B3AFF97" w:rsidR="00990FE6" w:rsidRPr="005D723D" w:rsidRDefault="00990FE6" w:rsidP="00AF06B3">
      <w:pPr>
        <w:pStyle w:val="ListParagraph"/>
        <w:numPr>
          <w:ilvl w:val="0"/>
          <w:numId w:val="6"/>
        </w:numPr>
        <w:ind w:hanging="578"/>
      </w:pPr>
      <w:r w:rsidRPr="005D723D">
        <w:t>Foster good relations between persons who share a relevant protected characteristic and persons who do not share it.</w:t>
      </w:r>
    </w:p>
    <w:p w14:paraId="39FA844C" w14:textId="77777777" w:rsidR="00560DEF" w:rsidRPr="005D723D" w:rsidRDefault="00560DEF" w:rsidP="009B2C8F">
      <w:pPr>
        <w:pStyle w:val="ListParagraph"/>
        <w:ind w:left="1429"/>
      </w:pPr>
    </w:p>
    <w:p w14:paraId="0CD108DB" w14:textId="2B8AC1F7" w:rsidR="00990FE6" w:rsidRPr="005D723D" w:rsidRDefault="00731669" w:rsidP="00731669">
      <w:pPr>
        <w:ind w:left="720" w:hanging="720"/>
      </w:pPr>
      <w:r w:rsidRPr="005D723D">
        <w:t>13.2</w:t>
      </w:r>
      <w:r w:rsidRPr="005D723D">
        <w:tab/>
      </w:r>
      <w:r w:rsidR="00990FE6" w:rsidRPr="005D723D">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5D723D" w:rsidRDefault="00560DEF" w:rsidP="00F17392">
      <w:pPr>
        <w:ind w:left="709"/>
      </w:pPr>
    </w:p>
    <w:p w14:paraId="4A4D80F7" w14:textId="116C1B73" w:rsidR="00990FE6" w:rsidRPr="005D723D" w:rsidRDefault="00990FE6" w:rsidP="00AF06B3">
      <w:pPr>
        <w:pStyle w:val="ListParagraph"/>
        <w:numPr>
          <w:ilvl w:val="0"/>
          <w:numId w:val="7"/>
        </w:numPr>
        <w:ind w:hanging="578"/>
      </w:pPr>
      <w:r w:rsidRPr="005D723D">
        <w:t xml:space="preserve">remove or minimise disadvantages suffered by persons who share a relevant protected characteristic that are connected to that </w:t>
      </w:r>
      <w:proofErr w:type="gramStart"/>
      <w:r w:rsidRPr="005D723D">
        <w:t>characteristic;</w:t>
      </w:r>
      <w:proofErr w:type="gramEnd"/>
    </w:p>
    <w:p w14:paraId="1A59618B" w14:textId="7B65CB36" w:rsidR="00990FE6" w:rsidRPr="005D723D" w:rsidRDefault="00990FE6" w:rsidP="00AF06B3">
      <w:pPr>
        <w:pStyle w:val="ListParagraph"/>
        <w:numPr>
          <w:ilvl w:val="0"/>
          <w:numId w:val="7"/>
        </w:numPr>
        <w:ind w:hanging="578"/>
      </w:pPr>
      <w:r w:rsidRPr="005D723D">
        <w:t xml:space="preserve">take steps to meet the needs of persons who share a relevant protected characteristic that are different from the needs of persons who do not share </w:t>
      </w:r>
      <w:proofErr w:type="gramStart"/>
      <w:r w:rsidRPr="005D723D">
        <w:t>it;</w:t>
      </w:r>
      <w:proofErr w:type="gramEnd"/>
    </w:p>
    <w:p w14:paraId="03CFB31B" w14:textId="77777777" w:rsidR="000942BF" w:rsidRPr="005D723D" w:rsidRDefault="00990FE6" w:rsidP="00AF06B3">
      <w:pPr>
        <w:pStyle w:val="ListParagraph"/>
        <w:numPr>
          <w:ilvl w:val="0"/>
          <w:numId w:val="7"/>
        </w:numPr>
        <w:ind w:hanging="578"/>
      </w:pPr>
      <w:r w:rsidRPr="005D723D">
        <w:t>Encourage persons who share a relevant protected characteristic to participate in public life or in any other activity in which participation by such persons is disproportionately low.</w:t>
      </w:r>
    </w:p>
    <w:p w14:paraId="04A8CDF0" w14:textId="77777777" w:rsidR="000942BF" w:rsidRPr="005D723D" w:rsidRDefault="00990FE6" w:rsidP="00AF06B3">
      <w:pPr>
        <w:pStyle w:val="ListParagraph"/>
        <w:numPr>
          <w:ilvl w:val="0"/>
          <w:numId w:val="7"/>
        </w:numPr>
        <w:ind w:hanging="578"/>
      </w:pPr>
      <w:r w:rsidRPr="005D723D">
        <w:t>The steps involved in meeting the needs of disabled persons that are different from the needs of persons who are not disabled include, in particular, steps to take account of disabled persons’ disabilities.</w:t>
      </w:r>
    </w:p>
    <w:p w14:paraId="5128BA33" w14:textId="039EF850" w:rsidR="00990FE6" w:rsidRPr="005D723D" w:rsidRDefault="00990FE6" w:rsidP="00AF06B3">
      <w:pPr>
        <w:pStyle w:val="ListParagraph"/>
        <w:numPr>
          <w:ilvl w:val="0"/>
          <w:numId w:val="7"/>
        </w:numPr>
        <w:ind w:hanging="578"/>
      </w:pPr>
      <w:r w:rsidRPr="005D723D">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5D723D" w:rsidRDefault="00990FE6" w:rsidP="00AF06B3">
      <w:pPr>
        <w:pStyle w:val="ListParagraph"/>
        <w:numPr>
          <w:ilvl w:val="0"/>
          <w:numId w:val="9"/>
        </w:numPr>
        <w:ind w:hanging="578"/>
      </w:pPr>
      <w:r w:rsidRPr="005D723D">
        <w:t>Tackle prejudice, and</w:t>
      </w:r>
    </w:p>
    <w:p w14:paraId="0B398716" w14:textId="4599FF67" w:rsidR="00990FE6" w:rsidRPr="005D723D" w:rsidRDefault="00990FE6" w:rsidP="00AF06B3">
      <w:pPr>
        <w:pStyle w:val="ListParagraph"/>
        <w:numPr>
          <w:ilvl w:val="0"/>
          <w:numId w:val="8"/>
        </w:numPr>
        <w:ind w:hanging="578"/>
      </w:pPr>
      <w:r w:rsidRPr="005D723D">
        <w:t>Promote understanding.</w:t>
      </w:r>
      <w:r w:rsidR="00AE1CFD" w:rsidRPr="005D723D">
        <w:t xml:space="preserve"> </w:t>
      </w:r>
    </w:p>
    <w:p w14:paraId="34E6AD96" w14:textId="77777777" w:rsidR="007C5702" w:rsidRPr="005D723D" w:rsidRDefault="007C5702" w:rsidP="007C5702">
      <w:pPr>
        <w:pStyle w:val="ListParagraph"/>
        <w:ind w:left="1429"/>
      </w:pPr>
    </w:p>
    <w:p w14:paraId="38FFFD95" w14:textId="053FF494" w:rsidR="00990FE6" w:rsidRPr="005D723D" w:rsidRDefault="00731669" w:rsidP="00731669">
      <w:pPr>
        <w:ind w:left="720" w:hanging="720"/>
      </w:pPr>
      <w:r w:rsidRPr="005D723D">
        <w:t>13.3</w:t>
      </w:r>
      <w:r w:rsidRPr="005D723D">
        <w:tab/>
      </w:r>
      <w:r w:rsidR="00990FE6" w:rsidRPr="005D723D">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41DC4634" w:rsidR="00990FE6" w:rsidRPr="005D723D" w:rsidRDefault="00990FE6" w:rsidP="00AF06B3">
      <w:pPr>
        <w:pStyle w:val="ListParagraph"/>
        <w:numPr>
          <w:ilvl w:val="1"/>
          <w:numId w:val="23"/>
        </w:numPr>
        <w:ind w:left="1418" w:hanging="567"/>
      </w:pPr>
      <w:r w:rsidRPr="005D723D">
        <w:t>Age</w:t>
      </w:r>
    </w:p>
    <w:p w14:paraId="2ED037E6" w14:textId="601FF25C" w:rsidR="00990FE6" w:rsidRPr="005D723D" w:rsidRDefault="00990FE6" w:rsidP="00AF06B3">
      <w:pPr>
        <w:pStyle w:val="ListParagraph"/>
        <w:numPr>
          <w:ilvl w:val="1"/>
          <w:numId w:val="23"/>
        </w:numPr>
        <w:ind w:left="1418" w:hanging="567"/>
      </w:pPr>
      <w:r w:rsidRPr="005D723D">
        <w:lastRenderedPageBreak/>
        <w:t>Disability</w:t>
      </w:r>
    </w:p>
    <w:p w14:paraId="04FD4D12" w14:textId="097260BF" w:rsidR="00990FE6" w:rsidRPr="005D723D" w:rsidRDefault="00990FE6" w:rsidP="00AF06B3">
      <w:pPr>
        <w:pStyle w:val="ListParagraph"/>
        <w:numPr>
          <w:ilvl w:val="1"/>
          <w:numId w:val="23"/>
        </w:numPr>
        <w:ind w:left="1418" w:hanging="567"/>
      </w:pPr>
      <w:r w:rsidRPr="005D723D">
        <w:t>Gender reassignment</w:t>
      </w:r>
    </w:p>
    <w:p w14:paraId="04826F34" w14:textId="22B91C44" w:rsidR="00990FE6" w:rsidRPr="005D723D" w:rsidRDefault="00990FE6" w:rsidP="00AF06B3">
      <w:pPr>
        <w:pStyle w:val="ListParagraph"/>
        <w:numPr>
          <w:ilvl w:val="1"/>
          <w:numId w:val="23"/>
        </w:numPr>
        <w:ind w:left="1418" w:hanging="567"/>
      </w:pPr>
      <w:r w:rsidRPr="005D723D">
        <w:t>Pregnancy and maternity</w:t>
      </w:r>
    </w:p>
    <w:p w14:paraId="1AF0D231" w14:textId="00BBA8A8" w:rsidR="00990FE6" w:rsidRPr="005D723D" w:rsidRDefault="00990FE6" w:rsidP="00AF06B3">
      <w:pPr>
        <w:pStyle w:val="ListParagraph"/>
        <w:numPr>
          <w:ilvl w:val="1"/>
          <w:numId w:val="23"/>
        </w:numPr>
        <w:ind w:left="1418" w:hanging="567"/>
      </w:pPr>
      <w:r w:rsidRPr="005D723D">
        <w:t>Race,</w:t>
      </w:r>
    </w:p>
    <w:p w14:paraId="23BC7366" w14:textId="5F71374B" w:rsidR="00990FE6" w:rsidRPr="005D723D" w:rsidRDefault="00990FE6" w:rsidP="00AF06B3">
      <w:pPr>
        <w:pStyle w:val="ListParagraph"/>
        <w:numPr>
          <w:ilvl w:val="1"/>
          <w:numId w:val="23"/>
        </w:numPr>
        <w:ind w:left="1418" w:hanging="567"/>
      </w:pPr>
      <w:r w:rsidRPr="005D723D">
        <w:t>Religion or belief</w:t>
      </w:r>
    </w:p>
    <w:p w14:paraId="0FA3E27B" w14:textId="2A8A71CF" w:rsidR="00990FE6" w:rsidRPr="005D723D" w:rsidRDefault="00990FE6" w:rsidP="00AF06B3">
      <w:pPr>
        <w:pStyle w:val="ListParagraph"/>
        <w:numPr>
          <w:ilvl w:val="1"/>
          <w:numId w:val="23"/>
        </w:numPr>
        <w:ind w:left="1418" w:hanging="567"/>
      </w:pPr>
      <w:r w:rsidRPr="005D723D">
        <w:t>Sex</w:t>
      </w:r>
    </w:p>
    <w:p w14:paraId="1D3434AB" w14:textId="499A98AD" w:rsidR="00990FE6" w:rsidRPr="005D723D" w:rsidRDefault="00990FE6" w:rsidP="00AF06B3">
      <w:pPr>
        <w:pStyle w:val="ListParagraph"/>
        <w:numPr>
          <w:ilvl w:val="1"/>
          <w:numId w:val="23"/>
        </w:numPr>
        <w:ind w:left="1418" w:hanging="567"/>
      </w:pPr>
      <w:r w:rsidRPr="005D723D">
        <w:t>Sexual orientation</w:t>
      </w:r>
    </w:p>
    <w:p w14:paraId="76D54F7F" w14:textId="47728CC4" w:rsidR="00990FE6" w:rsidRPr="005D723D" w:rsidRDefault="00990FE6" w:rsidP="00AF06B3">
      <w:pPr>
        <w:pStyle w:val="ListParagraph"/>
        <w:numPr>
          <w:ilvl w:val="1"/>
          <w:numId w:val="23"/>
        </w:numPr>
        <w:ind w:left="1418" w:hanging="567"/>
      </w:pPr>
      <w:r w:rsidRPr="005D723D">
        <w:t>Marriage and Civil partnership</w:t>
      </w:r>
    </w:p>
    <w:p w14:paraId="6F2E1C32" w14:textId="77777777" w:rsidR="00990FE6" w:rsidRPr="005D723D" w:rsidRDefault="00990FE6" w:rsidP="00990FE6"/>
    <w:p w14:paraId="184DB03F" w14:textId="5DBC57B2" w:rsidR="007163A8" w:rsidRPr="005D723D" w:rsidRDefault="00731669" w:rsidP="007163A8">
      <w:pPr>
        <w:rPr>
          <w:szCs w:val="24"/>
        </w:rPr>
      </w:pPr>
      <w:r w:rsidRPr="005D723D">
        <w:rPr>
          <w:szCs w:val="24"/>
        </w:rPr>
        <w:t>13.4</w:t>
      </w:r>
      <w:r w:rsidRPr="005D723D">
        <w:rPr>
          <w:szCs w:val="24"/>
        </w:rPr>
        <w:tab/>
      </w:r>
      <w:r w:rsidR="005641E0" w:rsidRPr="005D723D">
        <w:rPr>
          <w:szCs w:val="24"/>
        </w:rPr>
        <w:t>Eq</w:t>
      </w:r>
      <w:r w:rsidR="007647E7" w:rsidRPr="005D723D">
        <w:rPr>
          <w:szCs w:val="24"/>
        </w:rPr>
        <w:t>uality assessment</w:t>
      </w:r>
      <w:r w:rsidR="005641E0" w:rsidRPr="005D723D">
        <w:rPr>
          <w:szCs w:val="24"/>
        </w:rPr>
        <w:t xml:space="preserve">s were undertaken </w:t>
      </w:r>
      <w:r w:rsidR="003001F1" w:rsidRPr="005D723D">
        <w:rPr>
          <w:szCs w:val="24"/>
        </w:rPr>
        <w:t>for the budget proposals agreed by Council</w:t>
      </w:r>
      <w:r w:rsidR="005641E0" w:rsidRPr="005D723D">
        <w:rPr>
          <w:szCs w:val="24"/>
        </w:rPr>
        <w:t xml:space="preserve"> listed as part of the MTFS process and an overall </w:t>
      </w:r>
      <w:r w:rsidR="007647E7" w:rsidRPr="005D723D">
        <w:rPr>
          <w:szCs w:val="24"/>
        </w:rPr>
        <w:t>e</w:t>
      </w:r>
      <w:r w:rsidR="005641E0" w:rsidRPr="005D723D">
        <w:rPr>
          <w:szCs w:val="24"/>
        </w:rPr>
        <w:t>q</w:t>
      </w:r>
      <w:r w:rsidR="007647E7" w:rsidRPr="005D723D">
        <w:rPr>
          <w:szCs w:val="24"/>
        </w:rPr>
        <w:t>uality assessment</w:t>
      </w:r>
      <w:r w:rsidR="005641E0" w:rsidRPr="005D723D">
        <w:rPr>
          <w:szCs w:val="24"/>
        </w:rPr>
        <w:t xml:space="preserve"> was undertaken on the MTFS. </w:t>
      </w:r>
    </w:p>
    <w:p w14:paraId="1D7D3403" w14:textId="67412397" w:rsidR="002E0F2C" w:rsidRPr="005D723D" w:rsidRDefault="002E0F2C" w:rsidP="007163A8">
      <w:pPr>
        <w:rPr>
          <w:szCs w:val="24"/>
        </w:rPr>
      </w:pPr>
    </w:p>
    <w:p w14:paraId="03C00D35" w14:textId="04DEA628" w:rsidR="002E0F2C" w:rsidRPr="005D723D" w:rsidRDefault="002E0F2C" w:rsidP="002E0F2C">
      <w:pPr>
        <w:rPr>
          <w:szCs w:val="24"/>
        </w:rPr>
      </w:pPr>
      <w:r w:rsidRPr="005D723D">
        <w:rPr>
          <w:szCs w:val="24"/>
        </w:rPr>
        <w:t>13.5</w:t>
      </w:r>
      <w:r w:rsidRPr="005D723D">
        <w:rPr>
          <w:szCs w:val="24"/>
        </w:rPr>
        <w:tab/>
        <w:t>There is only recommendation in this report for decision “That Cabinet approve the proposed amendments to the Capital Programme as set out in paragraphs 3.33 to 3.</w:t>
      </w:r>
      <w:r w:rsidR="00E54211" w:rsidRPr="005D723D">
        <w:rPr>
          <w:szCs w:val="24"/>
        </w:rPr>
        <w:t>34</w:t>
      </w:r>
      <w:r w:rsidR="007C255E">
        <w:rPr>
          <w:szCs w:val="24"/>
        </w:rPr>
        <w:t xml:space="preserve"> and Appendix 5. I</w:t>
      </w:r>
      <w:r w:rsidRPr="005D723D">
        <w:rPr>
          <w:szCs w:val="24"/>
        </w:rPr>
        <w:t>t is not considered that this will have a detrimental equalities impact.</w:t>
      </w:r>
    </w:p>
    <w:p w14:paraId="48FF4327" w14:textId="77777777" w:rsidR="002E0F2C" w:rsidRPr="005D723D" w:rsidRDefault="002E0F2C" w:rsidP="007163A8">
      <w:pPr>
        <w:rPr>
          <w:szCs w:val="24"/>
        </w:rPr>
      </w:pPr>
    </w:p>
    <w:p w14:paraId="21EA8B97" w14:textId="24D0337F" w:rsidR="00325251" w:rsidRPr="005D723D" w:rsidRDefault="009C2BA3" w:rsidP="00731669">
      <w:pPr>
        <w:ind w:left="709" w:hanging="709"/>
        <w:jc w:val="both"/>
        <w:rPr>
          <w:b/>
          <w:bCs/>
          <w:szCs w:val="24"/>
        </w:rPr>
      </w:pPr>
      <w:r w:rsidRPr="005D723D">
        <w:rPr>
          <w:b/>
          <w:bCs/>
          <w:szCs w:val="24"/>
        </w:rPr>
        <w:t>14.0</w:t>
      </w:r>
      <w:r w:rsidRPr="005D723D">
        <w:rPr>
          <w:b/>
          <w:bCs/>
          <w:szCs w:val="24"/>
        </w:rPr>
        <w:tab/>
        <w:t>Council Priorities</w:t>
      </w:r>
    </w:p>
    <w:p w14:paraId="62545583" w14:textId="58616A11" w:rsidR="009C2BA3" w:rsidRPr="005D723D" w:rsidRDefault="009C2BA3" w:rsidP="00731669">
      <w:pPr>
        <w:ind w:left="709" w:hanging="709"/>
        <w:jc w:val="both"/>
        <w:rPr>
          <w:szCs w:val="24"/>
        </w:rPr>
      </w:pPr>
    </w:p>
    <w:p w14:paraId="2C2EE219" w14:textId="07000159" w:rsidR="009C2BA3" w:rsidRPr="005D723D" w:rsidRDefault="009C2BA3" w:rsidP="009C2BA3">
      <w:pPr>
        <w:pStyle w:val="ListParagraph"/>
        <w:numPr>
          <w:ilvl w:val="2"/>
          <w:numId w:val="30"/>
        </w:numPr>
        <w:ind w:left="1418" w:hanging="425"/>
        <w:jc w:val="both"/>
        <w:rPr>
          <w:szCs w:val="24"/>
        </w:rPr>
      </w:pPr>
      <w:r w:rsidRPr="005D723D">
        <w:rPr>
          <w:szCs w:val="24"/>
        </w:rPr>
        <w:t>A council that puts residents first</w:t>
      </w:r>
    </w:p>
    <w:p w14:paraId="126C9DD1" w14:textId="77777777" w:rsidR="00922DD2" w:rsidRDefault="009C2BA3" w:rsidP="00922DD2">
      <w:pPr>
        <w:pStyle w:val="ListParagraph"/>
        <w:numPr>
          <w:ilvl w:val="2"/>
          <w:numId w:val="30"/>
        </w:numPr>
        <w:ind w:left="1418" w:hanging="425"/>
        <w:jc w:val="both"/>
        <w:rPr>
          <w:szCs w:val="24"/>
        </w:rPr>
      </w:pPr>
      <w:r w:rsidRPr="005D723D">
        <w:rPr>
          <w:szCs w:val="24"/>
        </w:rPr>
        <w:t>A borough that is clean and safe</w:t>
      </w:r>
    </w:p>
    <w:p w14:paraId="65751E3B" w14:textId="694836D6" w:rsidR="0003403D" w:rsidRPr="00922DD2" w:rsidRDefault="009C2BA3" w:rsidP="00922DD2">
      <w:pPr>
        <w:pStyle w:val="ListParagraph"/>
        <w:numPr>
          <w:ilvl w:val="2"/>
          <w:numId w:val="30"/>
        </w:numPr>
        <w:ind w:left="1418" w:hanging="425"/>
        <w:jc w:val="both"/>
        <w:rPr>
          <w:szCs w:val="24"/>
        </w:rPr>
      </w:pPr>
      <w:r w:rsidRPr="00922DD2">
        <w:rPr>
          <w:szCs w:val="24"/>
        </w:rPr>
        <w:t xml:space="preserve">A place where those in need are </w:t>
      </w:r>
      <w:proofErr w:type="gramStart"/>
      <w:r w:rsidRPr="00922DD2">
        <w:rPr>
          <w:szCs w:val="24"/>
        </w:rPr>
        <w:t>supported</w:t>
      </w:r>
      <w:proofErr w:type="gramEnd"/>
    </w:p>
    <w:p w14:paraId="574D8C99" w14:textId="77777777" w:rsidR="00922DD2" w:rsidRPr="00922DD2" w:rsidRDefault="00922DD2" w:rsidP="00922DD2">
      <w:pPr>
        <w:pStyle w:val="ListParagraph"/>
        <w:ind w:left="709"/>
        <w:jc w:val="both"/>
        <w:rPr>
          <w:rFonts w:ascii="Arial Black" w:hAnsi="Arial Black" w:cs="Arial"/>
          <w:bCs/>
          <w:sz w:val="32"/>
          <w:szCs w:val="32"/>
        </w:rPr>
      </w:pPr>
    </w:p>
    <w:p w14:paraId="47BCC815" w14:textId="33E14DDE" w:rsidR="00333FAA" w:rsidRPr="00C027DA" w:rsidRDefault="00333FAA" w:rsidP="00333FAA">
      <w:pPr>
        <w:pStyle w:val="Heading1"/>
        <w:keepNext/>
      </w:pPr>
      <w:r w:rsidRPr="00C027DA">
        <w:t>Section 3 - Statutory Officer Clearance</w:t>
      </w:r>
    </w:p>
    <w:p w14:paraId="3054B45B" w14:textId="77777777" w:rsidR="00333FAA" w:rsidRPr="00C027DA" w:rsidRDefault="00333FAA" w:rsidP="00333FAA">
      <w:pPr>
        <w:keepNext/>
        <w:rPr>
          <w:rFonts w:cs="Arial"/>
        </w:rPr>
      </w:pPr>
    </w:p>
    <w:p w14:paraId="408922F9" w14:textId="361662FA" w:rsidR="00166B73" w:rsidRPr="00C027DA" w:rsidRDefault="00166B73" w:rsidP="00166B73">
      <w:pPr>
        <w:rPr>
          <w:sz w:val="28"/>
        </w:rPr>
      </w:pPr>
      <w:r w:rsidRPr="00C027DA">
        <w:rPr>
          <w:b/>
          <w:sz w:val="28"/>
        </w:rPr>
        <w:t>Statutory Officer:  Dawn Calvert</w:t>
      </w:r>
    </w:p>
    <w:p w14:paraId="680F7289" w14:textId="3BB843E1" w:rsidR="00166B73" w:rsidRPr="00C027DA" w:rsidRDefault="00166B73" w:rsidP="00166B73">
      <w:r w:rsidRPr="00C027DA">
        <w:t>Signed by the Chief Financial Officer</w:t>
      </w:r>
    </w:p>
    <w:p w14:paraId="0AD3F108" w14:textId="3D675720" w:rsidR="00166B73" w:rsidRPr="00C027DA" w:rsidRDefault="00166B73" w:rsidP="00166B73">
      <w:pPr>
        <w:spacing w:after="480"/>
        <w:rPr>
          <w:sz w:val="28"/>
        </w:rPr>
      </w:pPr>
      <w:r w:rsidRPr="00C027DA">
        <w:rPr>
          <w:b/>
          <w:sz w:val="28"/>
        </w:rPr>
        <w:t xml:space="preserve">Date:  </w:t>
      </w:r>
      <w:r w:rsidR="00C027DA" w:rsidRPr="00C027DA">
        <w:rPr>
          <w:b/>
          <w:sz w:val="28"/>
        </w:rPr>
        <w:t>04/07/23</w:t>
      </w:r>
    </w:p>
    <w:p w14:paraId="7FD2824A" w14:textId="6E421B90" w:rsidR="00166B73" w:rsidRPr="00C027DA" w:rsidRDefault="00166B73" w:rsidP="00166B73">
      <w:pPr>
        <w:rPr>
          <w:sz w:val="28"/>
        </w:rPr>
      </w:pPr>
      <w:r w:rsidRPr="00C027DA">
        <w:rPr>
          <w:b/>
          <w:sz w:val="28"/>
        </w:rPr>
        <w:t>Statutory Officer:  Jessica Farmer</w:t>
      </w:r>
    </w:p>
    <w:p w14:paraId="49DD4E8A" w14:textId="1D70E2FC" w:rsidR="00166B73" w:rsidRPr="004F7B99" w:rsidRDefault="00166B73" w:rsidP="00166B73">
      <w:r w:rsidRPr="004F7B99">
        <w:t xml:space="preserve">Signed </w:t>
      </w:r>
      <w:r w:rsidR="00C027DA" w:rsidRPr="004F7B99">
        <w:t>by the</w:t>
      </w:r>
      <w:r w:rsidRPr="004F7B99">
        <w:t xml:space="preserve"> Monitoring Officer</w:t>
      </w:r>
    </w:p>
    <w:p w14:paraId="0A1EC408" w14:textId="3FB170AB" w:rsidR="00166B73" w:rsidRPr="004F7B99" w:rsidRDefault="00166B73" w:rsidP="00166B73">
      <w:pPr>
        <w:spacing w:after="480"/>
        <w:rPr>
          <w:sz w:val="28"/>
        </w:rPr>
      </w:pPr>
      <w:r w:rsidRPr="004F7B99">
        <w:rPr>
          <w:b/>
          <w:sz w:val="28"/>
        </w:rPr>
        <w:t xml:space="preserve">Date:  </w:t>
      </w:r>
      <w:r w:rsidR="00C027DA" w:rsidRPr="004F7B99">
        <w:rPr>
          <w:b/>
          <w:sz w:val="28"/>
        </w:rPr>
        <w:t>30/06/23</w:t>
      </w:r>
    </w:p>
    <w:p w14:paraId="59531151" w14:textId="48347CDD" w:rsidR="00166B73" w:rsidRPr="004F7B99" w:rsidRDefault="00166B73" w:rsidP="00166B73">
      <w:pPr>
        <w:rPr>
          <w:sz w:val="28"/>
        </w:rPr>
      </w:pPr>
      <w:r w:rsidRPr="004F7B99">
        <w:rPr>
          <w:b/>
          <w:sz w:val="28"/>
        </w:rPr>
        <w:t xml:space="preserve">Chief Officer:  </w:t>
      </w:r>
      <w:r w:rsidR="00646684" w:rsidRPr="004F7B99">
        <w:rPr>
          <w:b/>
          <w:sz w:val="28"/>
        </w:rPr>
        <w:t>Alex Dewsnap</w:t>
      </w:r>
    </w:p>
    <w:p w14:paraId="62CC2E6C" w14:textId="45D0B214" w:rsidR="00166B73" w:rsidRPr="004F7B99" w:rsidRDefault="00166B73" w:rsidP="00166B73">
      <w:r w:rsidRPr="004F7B99">
        <w:t xml:space="preserve">Signed </w:t>
      </w:r>
      <w:r w:rsidR="00C027DA" w:rsidRPr="004F7B99">
        <w:t>by the Managing Director</w:t>
      </w:r>
    </w:p>
    <w:p w14:paraId="7969C720" w14:textId="07ED7F0E" w:rsidR="00166B73" w:rsidRPr="004F7B99" w:rsidRDefault="00166B73" w:rsidP="00166B73">
      <w:pPr>
        <w:spacing w:after="480"/>
        <w:rPr>
          <w:sz w:val="28"/>
        </w:rPr>
      </w:pPr>
      <w:r w:rsidRPr="004F7B99">
        <w:rPr>
          <w:b/>
          <w:sz w:val="28"/>
        </w:rPr>
        <w:t xml:space="preserve">Date:  </w:t>
      </w:r>
      <w:r w:rsidR="004F7B99" w:rsidRPr="004F7B99">
        <w:rPr>
          <w:b/>
          <w:sz w:val="28"/>
        </w:rPr>
        <w:t>11/07/23</w:t>
      </w:r>
    </w:p>
    <w:p w14:paraId="6A09054B" w14:textId="76E9B250" w:rsidR="00166B73" w:rsidRPr="00C027DA" w:rsidRDefault="00166B73" w:rsidP="00166B73">
      <w:pPr>
        <w:rPr>
          <w:sz w:val="28"/>
        </w:rPr>
      </w:pPr>
      <w:r w:rsidRPr="00C027DA">
        <w:rPr>
          <w:b/>
          <w:sz w:val="28"/>
        </w:rPr>
        <w:t>Head of Procurement:  Nimesh Mehta</w:t>
      </w:r>
    </w:p>
    <w:p w14:paraId="771CF306" w14:textId="30F0399B" w:rsidR="00166B73" w:rsidRPr="00C027DA" w:rsidRDefault="00166B73" w:rsidP="00166B73">
      <w:r w:rsidRPr="00C027DA">
        <w:t>Signed by the Head of Procurement</w:t>
      </w:r>
    </w:p>
    <w:p w14:paraId="72B6B1A2" w14:textId="7659B134" w:rsidR="00166B73" w:rsidRPr="00C027DA" w:rsidRDefault="00166B73" w:rsidP="00166B73">
      <w:pPr>
        <w:spacing w:after="480"/>
        <w:rPr>
          <w:sz w:val="28"/>
        </w:rPr>
      </w:pPr>
      <w:r w:rsidRPr="00C027DA">
        <w:rPr>
          <w:b/>
          <w:sz w:val="28"/>
        </w:rPr>
        <w:t xml:space="preserve">Date: </w:t>
      </w:r>
      <w:r w:rsidR="00C027DA" w:rsidRPr="00C027DA">
        <w:rPr>
          <w:b/>
          <w:sz w:val="28"/>
        </w:rPr>
        <w:t>28/06/23</w:t>
      </w:r>
    </w:p>
    <w:p w14:paraId="65C97688" w14:textId="05C8619B" w:rsidR="00166B73" w:rsidRPr="00C027DA" w:rsidRDefault="00166B73" w:rsidP="00166B73">
      <w:pPr>
        <w:rPr>
          <w:sz w:val="28"/>
        </w:rPr>
      </w:pPr>
      <w:r w:rsidRPr="00C027DA">
        <w:rPr>
          <w:b/>
          <w:sz w:val="28"/>
        </w:rPr>
        <w:lastRenderedPageBreak/>
        <w:t xml:space="preserve">Head of Internal Audit:  </w:t>
      </w:r>
      <w:r w:rsidR="008D59DD" w:rsidRPr="00C027DA">
        <w:rPr>
          <w:b/>
          <w:sz w:val="28"/>
        </w:rPr>
        <w:t xml:space="preserve">Neale Burns </w:t>
      </w:r>
    </w:p>
    <w:p w14:paraId="7CD521C9" w14:textId="1A5D0E01" w:rsidR="00166B73" w:rsidRPr="00C027DA" w:rsidRDefault="00166B73" w:rsidP="00166B73">
      <w:r w:rsidRPr="00C027DA">
        <w:t xml:space="preserve">Signed </w:t>
      </w:r>
      <w:r w:rsidR="008D59DD" w:rsidRPr="00C027DA">
        <w:t xml:space="preserve">on behalf </w:t>
      </w:r>
      <w:r w:rsidR="002E2C9C" w:rsidRPr="00C027DA">
        <w:t>by</w:t>
      </w:r>
      <w:r w:rsidRPr="00C027DA">
        <w:t xml:space="preserve"> Head of Internal </w:t>
      </w:r>
      <w:r w:rsidR="00C027DA" w:rsidRPr="00C027DA">
        <w:t>Audit</w:t>
      </w:r>
      <w:r w:rsidR="008D59DD" w:rsidRPr="00C027DA">
        <w:t xml:space="preserve"> </w:t>
      </w:r>
    </w:p>
    <w:p w14:paraId="7CF8A8F1" w14:textId="57D66006" w:rsidR="00166B73" w:rsidRPr="00C027DA" w:rsidRDefault="00166B73" w:rsidP="00166B73">
      <w:pPr>
        <w:pStyle w:val="Heading2"/>
        <w:spacing w:after="240"/>
      </w:pPr>
      <w:r w:rsidRPr="00C027DA">
        <w:t>Date:</w:t>
      </w:r>
      <w:r w:rsidR="00800A69" w:rsidRPr="00C027DA">
        <w:t xml:space="preserve"> </w:t>
      </w:r>
      <w:r w:rsidR="00C027DA" w:rsidRPr="00C027DA">
        <w:t>28/06/23</w:t>
      </w:r>
    </w:p>
    <w:p w14:paraId="34A45030" w14:textId="77777777" w:rsidR="00166B73" w:rsidRPr="006C7890" w:rsidRDefault="00166B73" w:rsidP="00166B73">
      <w:pPr>
        <w:pStyle w:val="Heading2"/>
        <w:spacing w:before="480" w:after="240"/>
      </w:pPr>
      <w:r w:rsidRPr="006C7890">
        <w:t>Mandatory Checks</w:t>
      </w:r>
    </w:p>
    <w:p w14:paraId="1EA50314" w14:textId="7724211E" w:rsidR="00166B73" w:rsidRPr="006C7890" w:rsidRDefault="00166B73" w:rsidP="00166B73">
      <w:pPr>
        <w:pStyle w:val="Heading3"/>
        <w:ind w:left="0" w:firstLine="0"/>
        <w:jc w:val="left"/>
      </w:pPr>
      <w:r w:rsidRPr="006C7890">
        <w:t xml:space="preserve">Ward Councillors notified:   NO as it impacts on all Wards </w:t>
      </w:r>
    </w:p>
    <w:p w14:paraId="6B92AC5A" w14:textId="2B1418E8" w:rsidR="00166B73" w:rsidRPr="006C7890" w:rsidRDefault="00166B73" w:rsidP="001143BC">
      <w:pPr>
        <w:pStyle w:val="Heading3"/>
        <w:spacing w:before="240"/>
      </w:pPr>
      <w:proofErr w:type="spellStart"/>
      <w:r w:rsidRPr="006C7890">
        <w:t>EqIA</w:t>
      </w:r>
      <w:proofErr w:type="spellEnd"/>
      <w:r w:rsidRPr="006C7890">
        <w:t xml:space="preserve"> carried out:  NO</w:t>
      </w:r>
    </w:p>
    <w:p w14:paraId="0A0F3F9E" w14:textId="77777777" w:rsidR="002548D1" w:rsidRPr="006C7890" w:rsidRDefault="002548D1" w:rsidP="00333FAA"/>
    <w:p w14:paraId="0608363E" w14:textId="77777777" w:rsidR="00333FAA" w:rsidRPr="006C7890" w:rsidRDefault="00333FAA" w:rsidP="00333FAA">
      <w:pPr>
        <w:pStyle w:val="Heading1"/>
        <w:keepNext/>
      </w:pPr>
      <w:r w:rsidRPr="006C7890">
        <w:t xml:space="preserve">Section </w:t>
      </w:r>
      <w:r w:rsidR="00A20113" w:rsidRPr="006C7890">
        <w:t>4</w:t>
      </w:r>
      <w:r w:rsidRPr="006C7890">
        <w:t xml:space="preserve"> - Contact Details and Background Papers</w:t>
      </w:r>
    </w:p>
    <w:p w14:paraId="04159197" w14:textId="77777777" w:rsidR="00333FAA" w:rsidRPr="006C7890" w:rsidRDefault="00333FAA" w:rsidP="00333FAA">
      <w:pPr>
        <w:keepNext/>
        <w:rPr>
          <w:rFonts w:cs="Arial"/>
        </w:rPr>
      </w:pPr>
    </w:p>
    <w:p w14:paraId="02BC8A13" w14:textId="6D7B37AF" w:rsidR="00CA2FF3" w:rsidRPr="006C7890" w:rsidRDefault="00333FAA" w:rsidP="00CA2FF3">
      <w:pPr>
        <w:pStyle w:val="Infotext"/>
        <w:rPr>
          <w:bCs/>
        </w:rPr>
      </w:pPr>
      <w:r w:rsidRPr="006C7890">
        <w:rPr>
          <w:b/>
        </w:rPr>
        <w:t xml:space="preserve">Contact:  </w:t>
      </w:r>
      <w:r w:rsidR="00CA2FF3" w:rsidRPr="006C7890">
        <w:rPr>
          <w:bCs/>
        </w:rPr>
        <w:t xml:space="preserve">Sharon </w:t>
      </w:r>
      <w:r w:rsidR="005C7899" w:rsidRPr="006C7890">
        <w:rPr>
          <w:bCs/>
        </w:rPr>
        <w:t>Daniels, Head</w:t>
      </w:r>
      <w:r w:rsidR="00CA2FF3" w:rsidRPr="006C7890">
        <w:rPr>
          <w:bCs/>
        </w:rPr>
        <w:t xml:space="preserve"> of Strategic and Technical Finance (Deputy S151), Telephone 020 8424 1332, Sharon </w:t>
      </w:r>
      <w:hyperlink r:id="rId19" w:history="1">
        <w:r w:rsidR="001143BC" w:rsidRPr="006C7890">
          <w:rPr>
            <w:rStyle w:val="Hyperlink"/>
            <w:bCs/>
            <w:color w:val="auto"/>
          </w:rPr>
          <w:t>Daniels@harrow.gov.uk</w:t>
        </w:r>
      </w:hyperlink>
      <w:r w:rsidR="001143BC" w:rsidRPr="006C7890">
        <w:rPr>
          <w:bCs/>
        </w:rPr>
        <w:t xml:space="preserve"> </w:t>
      </w:r>
    </w:p>
    <w:p w14:paraId="4C0E4257" w14:textId="77777777" w:rsidR="00922DD2" w:rsidRDefault="00922DD2" w:rsidP="00CC3A3C">
      <w:pPr>
        <w:pStyle w:val="Infotext"/>
        <w:spacing w:after="240"/>
        <w:rPr>
          <w:b/>
        </w:rPr>
      </w:pPr>
    </w:p>
    <w:p w14:paraId="1D63A09E" w14:textId="6BEF07E1" w:rsidR="00CC3A3C" w:rsidRPr="006C7890" w:rsidRDefault="00CC3A3C" w:rsidP="00CC3A3C">
      <w:pPr>
        <w:pStyle w:val="Infotext"/>
        <w:spacing w:after="240"/>
        <w:rPr>
          <w:b/>
        </w:rPr>
      </w:pPr>
      <w:r w:rsidRPr="006C7890">
        <w:rPr>
          <w:b/>
        </w:rPr>
        <w:t xml:space="preserve">Background Papers:  </w:t>
      </w:r>
    </w:p>
    <w:p w14:paraId="7290A373" w14:textId="79BEA054" w:rsidR="00922DD2" w:rsidRPr="006C7890" w:rsidRDefault="00922DD2" w:rsidP="00CC3A3C">
      <w:pPr>
        <w:pStyle w:val="Infotext"/>
        <w:spacing w:after="240"/>
        <w:rPr>
          <w:bCs/>
        </w:rPr>
      </w:pPr>
      <w:hyperlink r:id="rId20" w:history="1">
        <w:r w:rsidRPr="00922DD2">
          <w:rPr>
            <w:rStyle w:val="Hyperlink"/>
            <w:bCs/>
          </w:rPr>
          <w:t>Final Revenue Budget 2022/23 and Medium-Term Financial Strategy 2022/23 to 2024/25 Report</w:t>
        </w:r>
      </w:hyperlink>
      <w:r>
        <w:rPr>
          <w:bCs/>
        </w:rPr>
        <w:t xml:space="preserve"> </w:t>
      </w:r>
    </w:p>
    <w:p w14:paraId="49B2F127" w14:textId="40731308" w:rsidR="000D4E36" w:rsidRPr="006C7890" w:rsidRDefault="00CC3A3C" w:rsidP="002B1149">
      <w:pPr>
        <w:pStyle w:val="Infotext"/>
        <w:spacing w:before="480"/>
      </w:pPr>
      <w:r w:rsidRPr="006C7890">
        <w:rPr>
          <w:rFonts w:ascii="Arial Black" w:hAnsi="Arial Black"/>
        </w:rPr>
        <w:t>Call-in waived by the Chair of Overview and Scrutiny Committee</w:t>
      </w:r>
      <w:r w:rsidR="001143BC" w:rsidRPr="006C7890">
        <w:rPr>
          <w:rFonts w:ascii="Arial Black" w:hAnsi="Arial Black"/>
        </w:rPr>
        <w:t xml:space="preserve"> - </w:t>
      </w:r>
      <w:r w:rsidRPr="006C7890">
        <w:rPr>
          <w:b/>
        </w:rPr>
        <w:t>NO</w:t>
      </w:r>
    </w:p>
    <w:sectPr w:rsidR="000D4E36" w:rsidRPr="006C7890" w:rsidSect="003C7F2F">
      <w:headerReference w:type="default" r:id="rId21"/>
      <w:footerReference w:type="default" r:id="rId22"/>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E256" w14:textId="77777777" w:rsidR="002D2B59" w:rsidRDefault="002D2B59">
      <w:r>
        <w:separator/>
      </w:r>
    </w:p>
  </w:endnote>
  <w:endnote w:type="continuationSeparator" w:id="0">
    <w:p w14:paraId="17FC60FE" w14:textId="77777777" w:rsidR="002D2B59" w:rsidRDefault="002D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3D7A" w14:textId="561767BC" w:rsidR="00567B16" w:rsidRDefault="00567B16">
    <w:pPr>
      <w:pStyle w:val="Footer"/>
      <w:jc w:val="center"/>
    </w:pPr>
  </w:p>
  <w:p w14:paraId="39DF7124" w14:textId="77777777" w:rsidR="00FB687E" w:rsidRDefault="00FB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9068" w14:textId="77777777" w:rsidR="002D2B59" w:rsidRDefault="002D2B59">
      <w:r>
        <w:separator/>
      </w:r>
    </w:p>
  </w:footnote>
  <w:footnote w:type="continuationSeparator" w:id="0">
    <w:p w14:paraId="6BCA66B2" w14:textId="77777777" w:rsidR="002D2B59" w:rsidRDefault="002D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EBC5" w14:textId="77777777" w:rsidR="00FB687E" w:rsidRDefault="00FB687E">
    <w:pPr>
      <w:pStyle w:val="Header"/>
    </w:pPr>
  </w:p>
  <w:p w14:paraId="3BC3A77A" w14:textId="77777777" w:rsidR="00FB687E" w:rsidRDefault="00FB687E">
    <w:pPr>
      <w:pStyle w:val="Header"/>
    </w:pPr>
  </w:p>
  <w:p w14:paraId="5BFCD507" w14:textId="77777777" w:rsidR="00FB687E" w:rsidRDefault="00FB687E">
    <w:pPr>
      <w:pStyle w:val="Header"/>
    </w:pPr>
  </w:p>
  <w:p w14:paraId="0D8541FE" w14:textId="77777777" w:rsidR="00FB687E" w:rsidRDefault="00FB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32"/>
    <w:multiLevelType w:val="multilevel"/>
    <w:tmpl w:val="B874E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75351"/>
    <w:multiLevelType w:val="multilevel"/>
    <w:tmpl w:val="EC80A628"/>
    <w:lvl w:ilvl="0">
      <w:numFmt w:val="decimal"/>
      <w:lvlText w:val="1.%1"/>
      <w:lvlJc w:val="left"/>
      <w:pPr>
        <w:ind w:left="547" w:hanging="405"/>
      </w:pPr>
      <w:rPr>
        <w:rFonts w:hint="default"/>
        <w:b w:val="0"/>
        <w:color w:val="auto"/>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A17296"/>
    <w:multiLevelType w:val="multilevel"/>
    <w:tmpl w:val="699A9088"/>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16FC0"/>
    <w:multiLevelType w:val="hybridMultilevel"/>
    <w:tmpl w:val="9892B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E6B63"/>
    <w:multiLevelType w:val="hybridMultilevel"/>
    <w:tmpl w:val="28E8AE72"/>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36E0F"/>
    <w:multiLevelType w:val="hybridMultilevel"/>
    <w:tmpl w:val="F656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37910"/>
    <w:multiLevelType w:val="hybridMultilevel"/>
    <w:tmpl w:val="614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A4463"/>
    <w:multiLevelType w:val="multilevel"/>
    <w:tmpl w:val="876A95A0"/>
    <w:lvl w:ilvl="0">
      <w:start w:val="1"/>
      <w:numFmt w:val="decimal"/>
      <w:lvlText w:val="%1."/>
      <w:lvlJc w:val="left"/>
      <w:pPr>
        <w:ind w:left="720" w:hanging="360"/>
      </w:pPr>
      <w:rPr>
        <w:rFonts w:hint="default"/>
        <w:color w:val="auto"/>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9" w15:restartNumberingAfterBreak="0">
    <w:nsid w:val="2A6A4FE9"/>
    <w:multiLevelType w:val="hybridMultilevel"/>
    <w:tmpl w:val="D262AF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3ED4181B"/>
    <w:multiLevelType w:val="hybridMultilevel"/>
    <w:tmpl w:val="DC0408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5" w15:restartNumberingAfterBreak="0">
    <w:nsid w:val="49BC788C"/>
    <w:multiLevelType w:val="multilevel"/>
    <w:tmpl w:val="E416A404"/>
    <w:lvl w:ilvl="0">
      <w:start w:val="3"/>
      <w:numFmt w:val="decimal"/>
      <w:lvlText w:val="%1"/>
      <w:lvlJc w:val="left"/>
      <w:pPr>
        <w:ind w:left="473" w:hanging="473"/>
      </w:pPr>
      <w:rPr>
        <w:rFonts w:cs="Arial" w:hint="default"/>
      </w:rPr>
    </w:lvl>
    <w:lvl w:ilvl="1">
      <w:start w:val="33"/>
      <w:numFmt w:val="decimal"/>
      <w:lvlText w:val="%1.%2"/>
      <w:lvlJc w:val="left"/>
      <w:pPr>
        <w:ind w:left="473" w:hanging="473"/>
      </w:pPr>
      <w:rPr>
        <w:rFonts w:cs="Arial" w:hint="default"/>
        <w:b w:val="0"/>
        <w:bCs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4CE12815"/>
    <w:multiLevelType w:val="hybridMultilevel"/>
    <w:tmpl w:val="CDAE0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F57757E"/>
    <w:multiLevelType w:val="multilevel"/>
    <w:tmpl w:val="DF3A3FEE"/>
    <w:lvl w:ilvl="0">
      <w:start w:val="3"/>
      <w:numFmt w:val="decimal"/>
      <w:lvlText w:val="%1"/>
      <w:lvlJc w:val="left"/>
      <w:pPr>
        <w:ind w:left="460" w:hanging="460"/>
      </w:pPr>
    </w:lvl>
    <w:lvl w:ilvl="1">
      <w:start w:val="20"/>
      <w:numFmt w:val="decimal"/>
      <w:lvlText w:val="%1.%2"/>
      <w:lvlJc w:val="left"/>
      <w:pPr>
        <w:ind w:left="460" w:hanging="460"/>
      </w:pPr>
      <w:rPr>
        <w:b w:val="0"/>
        <w:bCs/>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527B755F"/>
    <w:multiLevelType w:val="hybridMultilevel"/>
    <w:tmpl w:val="3C9A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C570E6"/>
    <w:multiLevelType w:val="hybridMultilevel"/>
    <w:tmpl w:val="ED28C6E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81CFD"/>
    <w:multiLevelType w:val="multilevel"/>
    <w:tmpl w:val="8E40A9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6625DC"/>
    <w:multiLevelType w:val="hybridMultilevel"/>
    <w:tmpl w:val="6BD0682A"/>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9006E1B4">
      <w:numFmt w:val="bullet"/>
      <w:lvlText w:val="-"/>
      <w:lvlJc w:val="left"/>
      <w:pPr>
        <w:ind w:left="2880" w:hanging="180"/>
      </w:pPr>
      <w:rPr>
        <w:rFonts w:ascii="Calibri" w:eastAsia="Times New Roman" w:hAnsi="Calibri" w:cs="Calibri"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294160C"/>
    <w:multiLevelType w:val="hybridMultilevel"/>
    <w:tmpl w:val="FDC2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66A2A"/>
    <w:multiLevelType w:val="hybridMultilevel"/>
    <w:tmpl w:val="94C61E0A"/>
    <w:lvl w:ilvl="0" w:tplc="D0A61274">
      <w:numFmt w:val="decimal"/>
      <w:lvlText w:val="3.%1"/>
      <w:lvlJc w:val="left"/>
      <w:pPr>
        <w:ind w:left="1211"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0D52A5"/>
    <w:multiLevelType w:val="hybridMultilevel"/>
    <w:tmpl w:val="8154EB26"/>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74C2A06"/>
    <w:multiLevelType w:val="multilevel"/>
    <w:tmpl w:val="EAF0AC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AF555F"/>
    <w:multiLevelType w:val="multilevel"/>
    <w:tmpl w:val="CCEC2182"/>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b w:val="0"/>
        <w:bCs/>
        <w:color w:val="auto"/>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6057744"/>
    <w:multiLevelType w:val="hybridMultilevel"/>
    <w:tmpl w:val="7298C0AA"/>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01">
      <w:start w:val="1"/>
      <w:numFmt w:val="bullet"/>
      <w:lvlText w:val=""/>
      <w:lvlJc w:val="left"/>
      <w:pPr>
        <w:ind w:left="2880" w:hanging="180"/>
      </w:pPr>
      <w:rPr>
        <w:rFonts w:ascii="Symbol" w:hAnsi="Symbol"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7B65DF8"/>
    <w:multiLevelType w:val="hybridMultilevel"/>
    <w:tmpl w:val="6704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FA50D9"/>
    <w:multiLevelType w:val="hybridMultilevel"/>
    <w:tmpl w:val="DCC8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E4E1C"/>
    <w:multiLevelType w:val="hybridMultilevel"/>
    <w:tmpl w:val="74FA261C"/>
    <w:lvl w:ilvl="0" w:tplc="08090001">
      <w:start w:val="1"/>
      <w:numFmt w:val="bullet"/>
      <w:lvlText w:val=""/>
      <w:lvlJc w:val="left"/>
      <w:pPr>
        <w:ind w:left="1429" w:hanging="360"/>
      </w:pPr>
      <w:rPr>
        <w:rFonts w:ascii="Symbol" w:hAnsi="Symbol" w:hint="default"/>
      </w:rPr>
    </w:lvl>
    <w:lvl w:ilvl="1" w:tplc="5830A082">
      <w:numFmt w:val="bullet"/>
      <w:lvlText w:val="•"/>
      <w:lvlJc w:val="left"/>
      <w:pPr>
        <w:ind w:left="2149" w:hanging="360"/>
      </w:pPr>
      <w:rPr>
        <w:rFonts w:ascii="Arial" w:eastAsia="Times New Roman"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433742335">
    <w:abstractNumId w:val="1"/>
  </w:num>
  <w:num w:numId="2" w16cid:durableId="1390304582">
    <w:abstractNumId w:val="24"/>
  </w:num>
  <w:num w:numId="3" w16cid:durableId="150758211">
    <w:abstractNumId w:val="8"/>
  </w:num>
  <w:num w:numId="4" w16cid:durableId="103621918">
    <w:abstractNumId w:val="21"/>
  </w:num>
  <w:num w:numId="5" w16cid:durableId="1075740238">
    <w:abstractNumId w:val="14"/>
  </w:num>
  <w:num w:numId="6" w16cid:durableId="1066605598">
    <w:abstractNumId w:val="22"/>
  </w:num>
  <w:num w:numId="7" w16cid:durableId="1403484591">
    <w:abstractNumId w:val="10"/>
  </w:num>
  <w:num w:numId="8" w16cid:durableId="1726946373">
    <w:abstractNumId w:val="33"/>
  </w:num>
  <w:num w:numId="9" w16cid:durableId="1852601428">
    <w:abstractNumId w:val="28"/>
  </w:num>
  <w:num w:numId="10" w16cid:durableId="676620042">
    <w:abstractNumId w:val="11"/>
  </w:num>
  <w:num w:numId="11" w16cid:durableId="324170785">
    <w:abstractNumId w:val="2"/>
  </w:num>
  <w:num w:numId="12" w16cid:durableId="1508862201">
    <w:abstractNumId w:val="17"/>
  </w:num>
  <w:num w:numId="13" w16cid:durableId="2082868608">
    <w:abstractNumId w:val="15"/>
  </w:num>
  <w:num w:numId="14" w16cid:durableId="1434983134">
    <w:abstractNumId w:val="13"/>
  </w:num>
  <w:num w:numId="15" w16cid:durableId="1894581451">
    <w:abstractNumId w:val="18"/>
  </w:num>
  <w:num w:numId="16" w16cid:durableId="387152950">
    <w:abstractNumId w:val="27"/>
  </w:num>
  <w:num w:numId="17" w16cid:durableId="1325207053">
    <w:abstractNumId w:val="23"/>
  </w:num>
  <w:num w:numId="18" w16cid:durableId="712074706">
    <w:abstractNumId w:val="31"/>
  </w:num>
  <w:num w:numId="19" w16cid:durableId="610866708">
    <w:abstractNumId w:val="16"/>
  </w:num>
  <w:num w:numId="20" w16cid:durableId="1748922337">
    <w:abstractNumId w:val="30"/>
  </w:num>
  <w:num w:numId="21" w16cid:durableId="810831823">
    <w:abstractNumId w:val="19"/>
  </w:num>
  <w:num w:numId="22" w16cid:durableId="464978135">
    <w:abstractNumId w:val="7"/>
  </w:num>
  <w:num w:numId="23" w16cid:durableId="2146240410">
    <w:abstractNumId w:val="5"/>
  </w:num>
  <w:num w:numId="24" w16cid:durableId="1522008309">
    <w:abstractNumId w:val="6"/>
  </w:num>
  <w:num w:numId="25" w16cid:durableId="298535285">
    <w:abstractNumId w:val="3"/>
  </w:num>
  <w:num w:numId="26" w16cid:durableId="1330910918">
    <w:abstractNumId w:val="0"/>
  </w:num>
  <w:num w:numId="27" w16cid:durableId="1915428373">
    <w:abstractNumId w:val="32"/>
  </w:num>
  <w:num w:numId="28" w16cid:durableId="229003998">
    <w:abstractNumId w:val="12"/>
  </w:num>
  <w:num w:numId="29" w16cid:durableId="1106923487">
    <w:abstractNumId w:val="25"/>
  </w:num>
  <w:num w:numId="30" w16cid:durableId="1143734694">
    <w:abstractNumId w:val="29"/>
  </w:num>
  <w:num w:numId="31" w16cid:durableId="1652949564">
    <w:abstractNumId w:val="9"/>
  </w:num>
  <w:num w:numId="32" w16cid:durableId="1533424781">
    <w:abstractNumId w:val="4"/>
  </w:num>
  <w:num w:numId="33" w16cid:durableId="2062827450">
    <w:abstractNumId w:val="26"/>
  </w:num>
  <w:num w:numId="34" w16cid:durableId="191701484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2908"/>
    <w:rsid w:val="00003EC3"/>
    <w:rsid w:val="0000413A"/>
    <w:rsid w:val="00004286"/>
    <w:rsid w:val="0000581B"/>
    <w:rsid w:val="000058C5"/>
    <w:rsid w:val="00005F26"/>
    <w:rsid w:val="00007FDF"/>
    <w:rsid w:val="00012042"/>
    <w:rsid w:val="00012758"/>
    <w:rsid w:val="00013D39"/>
    <w:rsid w:val="000142E6"/>
    <w:rsid w:val="000153B2"/>
    <w:rsid w:val="0001555A"/>
    <w:rsid w:val="000176F7"/>
    <w:rsid w:val="0002015B"/>
    <w:rsid w:val="00021610"/>
    <w:rsid w:val="00021CD0"/>
    <w:rsid w:val="0002245A"/>
    <w:rsid w:val="00022532"/>
    <w:rsid w:val="00024A5C"/>
    <w:rsid w:val="00027ED7"/>
    <w:rsid w:val="0003222D"/>
    <w:rsid w:val="00032BAF"/>
    <w:rsid w:val="0003403D"/>
    <w:rsid w:val="000358A6"/>
    <w:rsid w:val="00035F2C"/>
    <w:rsid w:val="0003669D"/>
    <w:rsid w:val="000368EA"/>
    <w:rsid w:val="00040241"/>
    <w:rsid w:val="0004029A"/>
    <w:rsid w:val="0004368A"/>
    <w:rsid w:val="000445B8"/>
    <w:rsid w:val="000447DD"/>
    <w:rsid w:val="00044876"/>
    <w:rsid w:val="00044F9B"/>
    <w:rsid w:val="00045E83"/>
    <w:rsid w:val="00046812"/>
    <w:rsid w:val="00047A9E"/>
    <w:rsid w:val="00055177"/>
    <w:rsid w:val="0005698E"/>
    <w:rsid w:val="0006034E"/>
    <w:rsid w:val="00061479"/>
    <w:rsid w:val="000626B0"/>
    <w:rsid w:val="00063321"/>
    <w:rsid w:val="00063783"/>
    <w:rsid w:val="00063D00"/>
    <w:rsid w:val="000645AE"/>
    <w:rsid w:val="00066267"/>
    <w:rsid w:val="0007066E"/>
    <w:rsid w:val="00070FDB"/>
    <w:rsid w:val="00071D3E"/>
    <w:rsid w:val="00072702"/>
    <w:rsid w:val="00072CAD"/>
    <w:rsid w:val="00072D88"/>
    <w:rsid w:val="000735B3"/>
    <w:rsid w:val="00073765"/>
    <w:rsid w:val="00073986"/>
    <w:rsid w:val="00074AE3"/>
    <w:rsid w:val="0007562B"/>
    <w:rsid w:val="00075ABD"/>
    <w:rsid w:val="00076BFB"/>
    <w:rsid w:val="00076D24"/>
    <w:rsid w:val="000800ED"/>
    <w:rsid w:val="00082F83"/>
    <w:rsid w:val="00083283"/>
    <w:rsid w:val="00083652"/>
    <w:rsid w:val="000845E7"/>
    <w:rsid w:val="000860A6"/>
    <w:rsid w:val="0008678F"/>
    <w:rsid w:val="00087368"/>
    <w:rsid w:val="00087964"/>
    <w:rsid w:val="00091547"/>
    <w:rsid w:val="000929A6"/>
    <w:rsid w:val="00094111"/>
    <w:rsid w:val="000942BF"/>
    <w:rsid w:val="00096A83"/>
    <w:rsid w:val="000A28A2"/>
    <w:rsid w:val="000A2CB3"/>
    <w:rsid w:val="000A2CD5"/>
    <w:rsid w:val="000A3FE2"/>
    <w:rsid w:val="000A48E8"/>
    <w:rsid w:val="000B02BB"/>
    <w:rsid w:val="000B1936"/>
    <w:rsid w:val="000B1FC8"/>
    <w:rsid w:val="000B22FE"/>
    <w:rsid w:val="000B2B9F"/>
    <w:rsid w:val="000B5015"/>
    <w:rsid w:val="000B5B51"/>
    <w:rsid w:val="000B788F"/>
    <w:rsid w:val="000B793E"/>
    <w:rsid w:val="000C0031"/>
    <w:rsid w:val="000C14C0"/>
    <w:rsid w:val="000C14F3"/>
    <w:rsid w:val="000C1F7B"/>
    <w:rsid w:val="000C2074"/>
    <w:rsid w:val="000C292F"/>
    <w:rsid w:val="000C2B5C"/>
    <w:rsid w:val="000C4E42"/>
    <w:rsid w:val="000C5B41"/>
    <w:rsid w:val="000C634B"/>
    <w:rsid w:val="000D0977"/>
    <w:rsid w:val="000D194E"/>
    <w:rsid w:val="000D3E5A"/>
    <w:rsid w:val="000D4E36"/>
    <w:rsid w:val="000D66AA"/>
    <w:rsid w:val="000D6CA4"/>
    <w:rsid w:val="000E2CBE"/>
    <w:rsid w:val="000E543F"/>
    <w:rsid w:val="000E62FE"/>
    <w:rsid w:val="000F18E7"/>
    <w:rsid w:val="000F1E8A"/>
    <w:rsid w:val="000F2441"/>
    <w:rsid w:val="000F31C9"/>
    <w:rsid w:val="000F39CA"/>
    <w:rsid w:val="000F601E"/>
    <w:rsid w:val="000F67D8"/>
    <w:rsid w:val="00101FE5"/>
    <w:rsid w:val="001025AD"/>
    <w:rsid w:val="0010279C"/>
    <w:rsid w:val="0010385F"/>
    <w:rsid w:val="00104F2B"/>
    <w:rsid w:val="00105639"/>
    <w:rsid w:val="00105767"/>
    <w:rsid w:val="00106C08"/>
    <w:rsid w:val="0011306A"/>
    <w:rsid w:val="001143BC"/>
    <w:rsid w:val="001161E4"/>
    <w:rsid w:val="00116B3F"/>
    <w:rsid w:val="00121AC5"/>
    <w:rsid w:val="00121B6F"/>
    <w:rsid w:val="001244A9"/>
    <w:rsid w:val="00125A26"/>
    <w:rsid w:val="00125E91"/>
    <w:rsid w:val="0012610A"/>
    <w:rsid w:val="00126534"/>
    <w:rsid w:val="00131F12"/>
    <w:rsid w:val="001323E0"/>
    <w:rsid w:val="00135321"/>
    <w:rsid w:val="00140199"/>
    <w:rsid w:val="0014039C"/>
    <w:rsid w:val="0014207C"/>
    <w:rsid w:val="00142A38"/>
    <w:rsid w:val="00142AC9"/>
    <w:rsid w:val="001441E8"/>
    <w:rsid w:val="001456E7"/>
    <w:rsid w:val="0015034B"/>
    <w:rsid w:val="001509F2"/>
    <w:rsid w:val="0015376F"/>
    <w:rsid w:val="00154218"/>
    <w:rsid w:val="001546BF"/>
    <w:rsid w:val="00154A56"/>
    <w:rsid w:val="001560D1"/>
    <w:rsid w:val="001570EB"/>
    <w:rsid w:val="00157B60"/>
    <w:rsid w:val="001614E0"/>
    <w:rsid w:val="001619BF"/>
    <w:rsid w:val="00161FB7"/>
    <w:rsid w:val="00162CDA"/>
    <w:rsid w:val="0016302D"/>
    <w:rsid w:val="00163D19"/>
    <w:rsid w:val="0016506B"/>
    <w:rsid w:val="00166170"/>
    <w:rsid w:val="00166B73"/>
    <w:rsid w:val="00167048"/>
    <w:rsid w:val="00167715"/>
    <w:rsid w:val="00167F0A"/>
    <w:rsid w:val="00171BD8"/>
    <w:rsid w:val="00174142"/>
    <w:rsid w:val="00174C23"/>
    <w:rsid w:val="0017653E"/>
    <w:rsid w:val="001808A0"/>
    <w:rsid w:val="00180CCF"/>
    <w:rsid w:val="00181FFD"/>
    <w:rsid w:val="0018254B"/>
    <w:rsid w:val="00182B01"/>
    <w:rsid w:val="00182D74"/>
    <w:rsid w:val="001840D2"/>
    <w:rsid w:val="0018435A"/>
    <w:rsid w:val="001843E2"/>
    <w:rsid w:val="00184EED"/>
    <w:rsid w:val="001859C2"/>
    <w:rsid w:val="00185E99"/>
    <w:rsid w:val="00187D70"/>
    <w:rsid w:val="00187F3F"/>
    <w:rsid w:val="00190CC7"/>
    <w:rsid w:val="00191487"/>
    <w:rsid w:val="00192824"/>
    <w:rsid w:val="00193CDA"/>
    <w:rsid w:val="001966D7"/>
    <w:rsid w:val="0019702E"/>
    <w:rsid w:val="001970DA"/>
    <w:rsid w:val="001A0FF1"/>
    <w:rsid w:val="001A4359"/>
    <w:rsid w:val="001A46E4"/>
    <w:rsid w:val="001A4915"/>
    <w:rsid w:val="001A4ABA"/>
    <w:rsid w:val="001A6DAD"/>
    <w:rsid w:val="001A7591"/>
    <w:rsid w:val="001B0DFA"/>
    <w:rsid w:val="001B0EBB"/>
    <w:rsid w:val="001B1846"/>
    <w:rsid w:val="001B3CD4"/>
    <w:rsid w:val="001B4F9E"/>
    <w:rsid w:val="001B5082"/>
    <w:rsid w:val="001B7238"/>
    <w:rsid w:val="001C2ADC"/>
    <w:rsid w:val="001C4034"/>
    <w:rsid w:val="001C4D2E"/>
    <w:rsid w:val="001C50CB"/>
    <w:rsid w:val="001C512F"/>
    <w:rsid w:val="001C5207"/>
    <w:rsid w:val="001C67AC"/>
    <w:rsid w:val="001C7E35"/>
    <w:rsid w:val="001D0544"/>
    <w:rsid w:val="001D14F0"/>
    <w:rsid w:val="001D341B"/>
    <w:rsid w:val="001D3587"/>
    <w:rsid w:val="001D7456"/>
    <w:rsid w:val="001D7F5C"/>
    <w:rsid w:val="001E02FE"/>
    <w:rsid w:val="001E13BF"/>
    <w:rsid w:val="001E2104"/>
    <w:rsid w:val="001E2F70"/>
    <w:rsid w:val="001E3C06"/>
    <w:rsid w:val="001E4DFE"/>
    <w:rsid w:val="001E6692"/>
    <w:rsid w:val="001E7BD7"/>
    <w:rsid w:val="001F0037"/>
    <w:rsid w:val="001F0A34"/>
    <w:rsid w:val="001F0BE9"/>
    <w:rsid w:val="001F0FE8"/>
    <w:rsid w:val="001F1922"/>
    <w:rsid w:val="001F5350"/>
    <w:rsid w:val="001F7DB0"/>
    <w:rsid w:val="002000B9"/>
    <w:rsid w:val="00201501"/>
    <w:rsid w:val="00202D79"/>
    <w:rsid w:val="002048AB"/>
    <w:rsid w:val="00205D2F"/>
    <w:rsid w:val="0020600A"/>
    <w:rsid w:val="0020702E"/>
    <w:rsid w:val="00210E08"/>
    <w:rsid w:val="00213F4C"/>
    <w:rsid w:val="002145D1"/>
    <w:rsid w:val="002149E3"/>
    <w:rsid w:val="00214FF4"/>
    <w:rsid w:val="00215E8F"/>
    <w:rsid w:val="002177CF"/>
    <w:rsid w:val="002209D6"/>
    <w:rsid w:val="00220ABB"/>
    <w:rsid w:val="002213B1"/>
    <w:rsid w:val="00221D9F"/>
    <w:rsid w:val="0022207C"/>
    <w:rsid w:val="00224B08"/>
    <w:rsid w:val="002259BE"/>
    <w:rsid w:val="0022747D"/>
    <w:rsid w:val="00231850"/>
    <w:rsid w:val="002322BB"/>
    <w:rsid w:val="00233A07"/>
    <w:rsid w:val="00234E3A"/>
    <w:rsid w:val="0023702C"/>
    <w:rsid w:val="00237943"/>
    <w:rsid w:val="00237FEA"/>
    <w:rsid w:val="00241CC8"/>
    <w:rsid w:val="00245400"/>
    <w:rsid w:val="002459DF"/>
    <w:rsid w:val="00246B9B"/>
    <w:rsid w:val="00250FEF"/>
    <w:rsid w:val="00251254"/>
    <w:rsid w:val="00253051"/>
    <w:rsid w:val="002543B8"/>
    <w:rsid w:val="002548D1"/>
    <w:rsid w:val="00255B51"/>
    <w:rsid w:val="0026056F"/>
    <w:rsid w:val="00260955"/>
    <w:rsid w:val="0026277B"/>
    <w:rsid w:val="002656C8"/>
    <w:rsid w:val="00271F91"/>
    <w:rsid w:val="0027283B"/>
    <w:rsid w:val="00273559"/>
    <w:rsid w:val="00274109"/>
    <w:rsid w:val="00274392"/>
    <w:rsid w:val="0028019B"/>
    <w:rsid w:val="00283CAB"/>
    <w:rsid w:val="00286C92"/>
    <w:rsid w:val="00287370"/>
    <w:rsid w:val="0028772B"/>
    <w:rsid w:val="00287A95"/>
    <w:rsid w:val="00287DD3"/>
    <w:rsid w:val="00290F2F"/>
    <w:rsid w:val="0029107D"/>
    <w:rsid w:val="00291123"/>
    <w:rsid w:val="00291911"/>
    <w:rsid w:val="00292AEE"/>
    <w:rsid w:val="00293255"/>
    <w:rsid w:val="002943AC"/>
    <w:rsid w:val="00294AE9"/>
    <w:rsid w:val="002A0238"/>
    <w:rsid w:val="002A2400"/>
    <w:rsid w:val="002A2602"/>
    <w:rsid w:val="002A39DE"/>
    <w:rsid w:val="002A3FEF"/>
    <w:rsid w:val="002A4F0E"/>
    <w:rsid w:val="002A75E8"/>
    <w:rsid w:val="002B1149"/>
    <w:rsid w:val="002B1444"/>
    <w:rsid w:val="002B1705"/>
    <w:rsid w:val="002B36BB"/>
    <w:rsid w:val="002B48A0"/>
    <w:rsid w:val="002B4A5D"/>
    <w:rsid w:val="002B54A6"/>
    <w:rsid w:val="002B67CC"/>
    <w:rsid w:val="002C2AF0"/>
    <w:rsid w:val="002C4D4D"/>
    <w:rsid w:val="002C5BD7"/>
    <w:rsid w:val="002C65CE"/>
    <w:rsid w:val="002C7234"/>
    <w:rsid w:val="002C795A"/>
    <w:rsid w:val="002D0036"/>
    <w:rsid w:val="002D1874"/>
    <w:rsid w:val="002D255B"/>
    <w:rsid w:val="002D275F"/>
    <w:rsid w:val="002D2B59"/>
    <w:rsid w:val="002D48BB"/>
    <w:rsid w:val="002D4934"/>
    <w:rsid w:val="002D522E"/>
    <w:rsid w:val="002D791C"/>
    <w:rsid w:val="002E0F2C"/>
    <w:rsid w:val="002E1088"/>
    <w:rsid w:val="002E12CA"/>
    <w:rsid w:val="002E1DF4"/>
    <w:rsid w:val="002E1E8D"/>
    <w:rsid w:val="002E2C9C"/>
    <w:rsid w:val="002E3DD5"/>
    <w:rsid w:val="002E629A"/>
    <w:rsid w:val="002E6C2F"/>
    <w:rsid w:val="002E7267"/>
    <w:rsid w:val="002E74FA"/>
    <w:rsid w:val="002F05B5"/>
    <w:rsid w:val="002F1CBE"/>
    <w:rsid w:val="002F388E"/>
    <w:rsid w:val="002F3EE9"/>
    <w:rsid w:val="002F4605"/>
    <w:rsid w:val="002F500F"/>
    <w:rsid w:val="002F6F08"/>
    <w:rsid w:val="002F6F40"/>
    <w:rsid w:val="002F797F"/>
    <w:rsid w:val="003001F1"/>
    <w:rsid w:val="00302474"/>
    <w:rsid w:val="0030377A"/>
    <w:rsid w:val="00303946"/>
    <w:rsid w:val="00304193"/>
    <w:rsid w:val="003065D6"/>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25581"/>
    <w:rsid w:val="00333068"/>
    <w:rsid w:val="00333BDE"/>
    <w:rsid w:val="00333FAA"/>
    <w:rsid w:val="003355D7"/>
    <w:rsid w:val="0033656D"/>
    <w:rsid w:val="00337D78"/>
    <w:rsid w:val="00340394"/>
    <w:rsid w:val="00340517"/>
    <w:rsid w:val="0034115E"/>
    <w:rsid w:val="00343D58"/>
    <w:rsid w:val="00345287"/>
    <w:rsid w:val="00345876"/>
    <w:rsid w:val="003465B3"/>
    <w:rsid w:val="00346EEB"/>
    <w:rsid w:val="003472CA"/>
    <w:rsid w:val="00350DF4"/>
    <w:rsid w:val="0035144F"/>
    <w:rsid w:val="003521BC"/>
    <w:rsid w:val="0035290A"/>
    <w:rsid w:val="0035313B"/>
    <w:rsid w:val="00353DC3"/>
    <w:rsid w:val="0035555F"/>
    <w:rsid w:val="0035780C"/>
    <w:rsid w:val="003616C3"/>
    <w:rsid w:val="0036201C"/>
    <w:rsid w:val="00362372"/>
    <w:rsid w:val="003625E3"/>
    <w:rsid w:val="003634DA"/>
    <w:rsid w:val="003639A1"/>
    <w:rsid w:val="003639E3"/>
    <w:rsid w:val="0036495E"/>
    <w:rsid w:val="003663FE"/>
    <w:rsid w:val="00366E76"/>
    <w:rsid w:val="003678C0"/>
    <w:rsid w:val="00367FA9"/>
    <w:rsid w:val="00372313"/>
    <w:rsid w:val="00373E71"/>
    <w:rsid w:val="00374E1F"/>
    <w:rsid w:val="003756B1"/>
    <w:rsid w:val="00376160"/>
    <w:rsid w:val="00376768"/>
    <w:rsid w:val="00376CC8"/>
    <w:rsid w:val="00381586"/>
    <w:rsid w:val="00381A1C"/>
    <w:rsid w:val="00381E1B"/>
    <w:rsid w:val="00383D08"/>
    <w:rsid w:val="003845B4"/>
    <w:rsid w:val="003846FE"/>
    <w:rsid w:val="0038526C"/>
    <w:rsid w:val="00385E43"/>
    <w:rsid w:val="00385E6E"/>
    <w:rsid w:val="003869BB"/>
    <w:rsid w:val="00387804"/>
    <w:rsid w:val="00390067"/>
    <w:rsid w:val="003903B4"/>
    <w:rsid w:val="003946FE"/>
    <w:rsid w:val="00394D2F"/>
    <w:rsid w:val="00395D3D"/>
    <w:rsid w:val="0039608F"/>
    <w:rsid w:val="003A067C"/>
    <w:rsid w:val="003A222F"/>
    <w:rsid w:val="003A2996"/>
    <w:rsid w:val="003A4B57"/>
    <w:rsid w:val="003A742D"/>
    <w:rsid w:val="003B0005"/>
    <w:rsid w:val="003B07A5"/>
    <w:rsid w:val="003B0B81"/>
    <w:rsid w:val="003B2B91"/>
    <w:rsid w:val="003B3385"/>
    <w:rsid w:val="003B3BC2"/>
    <w:rsid w:val="003B40B3"/>
    <w:rsid w:val="003B445A"/>
    <w:rsid w:val="003C21F4"/>
    <w:rsid w:val="003C315C"/>
    <w:rsid w:val="003C3D1B"/>
    <w:rsid w:val="003C4532"/>
    <w:rsid w:val="003C68E4"/>
    <w:rsid w:val="003C77B4"/>
    <w:rsid w:val="003C7A65"/>
    <w:rsid w:val="003C7F2F"/>
    <w:rsid w:val="003D275F"/>
    <w:rsid w:val="003D291D"/>
    <w:rsid w:val="003D2E0C"/>
    <w:rsid w:val="003D3DFD"/>
    <w:rsid w:val="003D3E21"/>
    <w:rsid w:val="003D4346"/>
    <w:rsid w:val="003D56ED"/>
    <w:rsid w:val="003D7AB8"/>
    <w:rsid w:val="003E2127"/>
    <w:rsid w:val="003E3ABA"/>
    <w:rsid w:val="003E498C"/>
    <w:rsid w:val="003E4EF6"/>
    <w:rsid w:val="003E56AE"/>
    <w:rsid w:val="003F131B"/>
    <w:rsid w:val="003F2777"/>
    <w:rsid w:val="003F2C5D"/>
    <w:rsid w:val="003F3AFD"/>
    <w:rsid w:val="003F756D"/>
    <w:rsid w:val="003F77BB"/>
    <w:rsid w:val="00400629"/>
    <w:rsid w:val="004029CC"/>
    <w:rsid w:val="00403304"/>
    <w:rsid w:val="004052E3"/>
    <w:rsid w:val="004076C8"/>
    <w:rsid w:val="00411336"/>
    <w:rsid w:val="004128EA"/>
    <w:rsid w:val="00413458"/>
    <w:rsid w:val="004147C5"/>
    <w:rsid w:val="004153B6"/>
    <w:rsid w:val="00415CC1"/>
    <w:rsid w:val="00417510"/>
    <w:rsid w:val="004177DA"/>
    <w:rsid w:val="004207E3"/>
    <w:rsid w:val="00421A1D"/>
    <w:rsid w:val="00421A4C"/>
    <w:rsid w:val="0042308A"/>
    <w:rsid w:val="004238C2"/>
    <w:rsid w:val="0042469F"/>
    <w:rsid w:val="004270A6"/>
    <w:rsid w:val="00427B10"/>
    <w:rsid w:val="00430784"/>
    <w:rsid w:val="004325F9"/>
    <w:rsid w:val="0043268A"/>
    <w:rsid w:val="00433A35"/>
    <w:rsid w:val="00435B5D"/>
    <w:rsid w:val="004363F7"/>
    <w:rsid w:val="00436A0B"/>
    <w:rsid w:val="00440868"/>
    <w:rsid w:val="004409DB"/>
    <w:rsid w:val="00443EBD"/>
    <w:rsid w:val="0044525C"/>
    <w:rsid w:val="0044683D"/>
    <w:rsid w:val="00447352"/>
    <w:rsid w:val="00452CAC"/>
    <w:rsid w:val="0045387F"/>
    <w:rsid w:val="004553F1"/>
    <w:rsid w:val="0045548A"/>
    <w:rsid w:val="004558FE"/>
    <w:rsid w:val="0045655D"/>
    <w:rsid w:val="00460592"/>
    <w:rsid w:val="00466197"/>
    <w:rsid w:val="00467517"/>
    <w:rsid w:val="00471C1F"/>
    <w:rsid w:val="00472810"/>
    <w:rsid w:val="00472E44"/>
    <w:rsid w:val="00475834"/>
    <w:rsid w:val="004809FA"/>
    <w:rsid w:val="00481735"/>
    <w:rsid w:val="0048175C"/>
    <w:rsid w:val="00482AE7"/>
    <w:rsid w:val="004863F0"/>
    <w:rsid w:val="00487CDB"/>
    <w:rsid w:val="004901D3"/>
    <w:rsid w:val="00492B67"/>
    <w:rsid w:val="0049471D"/>
    <w:rsid w:val="00494906"/>
    <w:rsid w:val="00495315"/>
    <w:rsid w:val="004962B1"/>
    <w:rsid w:val="00496F06"/>
    <w:rsid w:val="004A0648"/>
    <w:rsid w:val="004A1570"/>
    <w:rsid w:val="004A18A0"/>
    <w:rsid w:val="004A1914"/>
    <w:rsid w:val="004A1E2D"/>
    <w:rsid w:val="004A72AA"/>
    <w:rsid w:val="004A7939"/>
    <w:rsid w:val="004B20F6"/>
    <w:rsid w:val="004B2834"/>
    <w:rsid w:val="004B4A22"/>
    <w:rsid w:val="004B60B8"/>
    <w:rsid w:val="004C0103"/>
    <w:rsid w:val="004C08EA"/>
    <w:rsid w:val="004C4A75"/>
    <w:rsid w:val="004C5ADB"/>
    <w:rsid w:val="004C5DDA"/>
    <w:rsid w:val="004D2DA0"/>
    <w:rsid w:val="004D3E97"/>
    <w:rsid w:val="004D700A"/>
    <w:rsid w:val="004E14A4"/>
    <w:rsid w:val="004E16FA"/>
    <w:rsid w:val="004E3365"/>
    <w:rsid w:val="004E41EB"/>
    <w:rsid w:val="004E537F"/>
    <w:rsid w:val="004E6609"/>
    <w:rsid w:val="004E719D"/>
    <w:rsid w:val="004E7D57"/>
    <w:rsid w:val="004F0BF8"/>
    <w:rsid w:val="004F19F0"/>
    <w:rsid w:val="004F22E9"/>
    <w:rsid w:val="004F36E1"/>
    <w:rsid w:val="004F4304"/>
    <w:rsid w:val="004F54BD"/>
    <w:rsid w:val="004F56C5"/>
    <w:rsid w:val="004F6F3C"/>
    <w:rsid w:val="004F7439"/>
    <w:rsid w:val="004F7B99"/>
    <w:rsid w:val="005002A9"/>
    <w:rsid w:val="00501E74"/>
    <w:rsid w:val="00503384"/>
    <w:rsid w:val="005041C2"/>
    <w:rsid w:val="005054F7"/>
    <w:rsid w:val="00505E6A"/>
    <w:rsid w:val="005071D3"/>
    <w:rsid w:val="005078C2"/>
    <w:rsid w:val="0051010C"/>
    <w:rsid w:val="00510718"/>
    <w:rsid w:val="005129D2"/>
    <w:rsid w:val="00513EC1"/>
    <w:rsid w:val="00514C91"/>
    <w:rsid w:val="00515B8F"/>
    <w:rsid w:val="00516573"/>
    <w:rsid w:val="005178DB"/>
    <w:rsid w:val="00517C7D"/>
    <w:rsid w:val="005223FE"/>
    <w:rsid w:val="00522D5D"/>
    <w:rsid w:val="0052515D"/>
    <w:rsid w:val="00525C08"/>
    <w:rsid w:val="005262CD"/>
    <w:rsid w:val="00526AA6"/>
    <w:rsid w:val="005305FC"/>
    <w:rsid w:val="00531CAE"/>
    <w:rsid w:val="005354D0"/>
    <w:rsid w:val="0053585A"/>
    <w:rsid w:val="00535922"/>
    <w:rsid w:val="00535A36"/>
    <w:rsid w:val="00537469"/>
    <w:rsid w:val="0054172C"/>
    <w:rsid w:val="00542808"/>
    <w:rsid w:val="0054323D"/>
    <w:rsid w:val="00543B07"/>
    <w:rsid w:val="00543BE2"/>
    <w:rsid w:val="0054590F"/>
    <w:rsid w:val="005459EC"/>
    <w:rsid w:val="00546EA2"/>
    <w:rsid w:val="005475D3"/>
    <w:rsid w:val="00547729"/>
    <w:rsid w:val="00550E7A"/>
    <w:rsid w:val="00552794"/>
    <w:rsid w:val="00555A6E"/>
    <w:rsid w:val="0055673A"/>
    <w:rsid w:val="0055724E"/>
    <w:rsid w:val="0055733D"/>
    <w:rsid w:val="005576B4"/>
    <w:rsid w:val="00560DEF"/>
    <w:rsid w:val="00562685"/>
    <w:rsid w:val="0056292F"/>
    <w:rsid w:val="00562EA2"/>
    <w:rsid w:val="005632B7"/>
    <w:rsid w:val="0056344D"/>
    <w:rsid w:val="00563F4C"/>
    <w:rsid w:val="005641E0"/>
    <w:rsid w:val="00566489"/>
    <w:rsid w:val="00566F47"/>
    <w:rsid w:val="00567B16"/>
    <w:rsid w:val="005709FA"/>
    <w:rsid w:val="005716B1"/>
    <w:rsid w:val="005718B5"/>
    <w:rsid w:val="00571FB4"/>
    <w:rsid w:val="0057297F"/>
    <w:rsid w:val="00573FF1"/>
    <w:rsid w:val="00574596"/>
    <w:rsid w:val="00574F6C"/>
    <w:rsid w:val="005773C2"/>
    <w:rsid w:val="005777E4"/>
    <w:rsid w:val="005808FB"/>
    <w:rsid w:val="00581486"/>
    <w:rsid w:val="00582605"/>
    <w:rsid w:val="00582A5C"/>
    <w:rsid w:val="00584430"/>
    <w:rsid w:val="005849F4"/>
    <w:rsid w:val="005854AF"/>
    <w:rsid w:val="0058600A"/>
    <w:rsid w:val="00590489"/>
    <w:rsid w:val="00591016"/>
    <w:rsid w:val="005933AB"/>
    <w:rsid w:val="005934F5"/>
    <w:rsid w:val="00593F3C"/>
    <w:rsid w:val="00596996"/>
    <w:rsid w:val="00597780"/>
    <w:rsid w:val="005A045F"/>
    <w:rsid w:val="005A0F94"/>
    <w:rsid w:val="005A2C9D"/>
    <w:rsid w:val="005A4F77"/>
    <w:rsid w:val="005A639A"/>
    <w:rsid w:val="005B0A85"/>
    <w:rsid w:val="005B0B45"/>
    <w:rsid w:val="005B3414"/>
    <w:rsid w:val="005B3F67"/>
    <w:rsid w:val="005B4496"/>
    <w:rsid w:val="005B587A"/>
    <w:rsid w:val="005B6114"/>
    <w:rsid w:val="005B6656"/>
    <w:rsid w:val="005B6671"/>
    <w:rsid w:val="005C1709"/>
    <w:rsid w:val="005C295F"/>
    <w:rsid w:val="005C5474"/>
    <w:rsid w:val="005C7899"/>
    <w:rsid w:val="005C7E6C"/>
    <w:rsid w:val="005D0571"/>
    <w:rsid w:val="005D1273"/>
    <w:rsid w:val="005D3E95"/>
    <w:rsid w:val="005D40B5"/>
    <w:rsid w:val="005D40CF"/>
    <w:rsid w:val="005D45AE"/>
    <w:rsid w:val="005D4911"/>
    <w:rsid w:val="005D548F"/>
    <w:rsid w:val="005D55FF"/>
    <w:rsid w:val="005D6161"/>
    <w:rsid w:val="005D6D14"/>
    <w:rsid w:val="005D6EF5"/>
    <w:rsid w:val="005D723D"/>
    <w:rsid w:val="005D73B5"/>
    <w:rsid w:val="005E2FCC"/>
    <w:rsid w:val="005E3A10"/>
    <w:rsid w:val="005E4BA2"/>
    <w:rsid w:val="005E4FA2"/>
    <w:rsid w:val="005E6695"/>
    <w:rsid w:val="005E717F"/>
    <w:rsid w:val="005E7509"/>
    <w:rsid w:val="005F00A6"/>
    <w:rsid w:val="005F1E92"/>
    <w:rsid w:val="005F37F9"/>
    <w:rsid w:val="005F499E"/>
    <w:rsid w:val="006001C7"/>
    <w:rsid w:val="006037BB"/>
    <w:rsid w:val="00603BA2"/>
    <w:rsid w:val="00604E7A"/>
    <w:rsid w:val="00604F47"/>
    <w:rsid w:val="00605CEF"/>
    <w:rsid w:val="00605ED6"/>
    <w:rsid w:val="006071D6"/>
    <w:rsid w:val="00607E22"/>
    <w:rsid w:val="006102CA"/>
    <w:rsid w:val="00613DAE"/>
    <w:rsid w:val="006160A2"/>
    <w:rsid w:val="0061781A"/>
    <w:rsid w:val="0061783E"/>
    <w:rsid w:val="00617871"/>
    <w:rsid w:val="006226AE"/>
    <w:rsid w:val="00622798"/>
    <w:rsid w:val="006230CB"/>
    <w:rsid w:val="006238A9"/>
    <w:rsid w:val="006246C9"/>
    <w:rsid w:val="00626B92"/>
    <w:rsid w:val="00627E6E"/>
    <w:rsid w:val="006322FF"/>
    <w:rsid w:val="00633771"/>
    <w:rsid w:val="006337F6"/>
    <w:rsid w:val="00634768"/>
    <w:rsid w:val="00635966"/>
    <w:rsid w:val="00636159"/>
    <w:rsid w:val="00636DE4"/>
    <w:rsid w:val="00640148"/>
    <w:rsid w:val="00640FC5"/>
    <w:rsid w:val="00641828"/>
    <w:rsid w:val="00641EF9"/>
    <w:rsid w:val="006424FA"/>
    <w:rsid w:val="00643710"/>
    <w:rsid w:val="0064455D"/>
    <w:rsid w:val="00645B8B"/>
    <w:rsid w:val="00646684"/>
    <w:rsid w:val="00647599"/>
    <w:rsid w:val="006476B6"/>
    <w:rsid w:val="00650E15"/>
    <w:rsid w:val="006524EA"/>
    <w:rsid w:val="00652F9B"/>
    <w:rsid w:val="006530E4"/>
    <w:rsid w:val="00654ABC"/>
    <w:rsid w:val="00655044"/>
    <w:rsid w:val="006552F7"/>
    <w:rsid w:val="00656D22"/>
    <w:rsid w:val="006617AD"/>
    <w:rsid w:val="006632EF"/>
    <w:rsid w:val="00663771"/>
    <w:rsid w:val="006653F7"/>
    <w:rsid w:val="00666922"/>
    <w:rsid w:val="00670F17"/>
    <w:rsid w:val="006710C7"/>
    <w:rsid w:val="006716EB"/>
    <w:rsid w:val="00672697"/>
    <w:rsid w:val="006739F8"/>
    <w:rsid w:val="00674C23"/>
    <w:rsid w:val="00674E2D"/>
    <w:rsid w:val="00675F21"/>
    <w:rsid w:val="00676BE8"/>
    <w:rsid w:val="00677EC3"/>
    <w:rsid w:val="00683403"/>
    <w:rsid w:val="00685880"/>
    <w:rsid w:val="00685F8B"/>
    <w:rsid w:val="00687CA0"/>
    <w:rsid w:val="00690337"/>
    <w:rsid w:val="00693C15"/>
    <w:rsid w:val="006964E3"/>
    <w:rsid w:val="00696A83"/>
    <w:rsid w:val="00696D5F"/>
    <w:rsid w:val="0069703C"/>
    <w:rsid w:val="006A091A"/>
    <w:rsid w:val="006A200B"/>
    <w:rsid w:val="006A27CD"/>
    <w:rsid w:val="006A34C3"/>
    <w:rsid w:val="006A506A"/>
    <w:rsid w:val="006A5955"/>
    <w:rsid w:val="006A7467"/>
    <w:rsid w:val="006B0184"/>
    <w:rsid w:val="006B1286"/>
    <w:rsid w:val="006B286E"/>
    <w:rsid w:val="006B3297"/>
    <w:rsid w:val="006B6BC5"/>
    <w:rsid w:val="006B7DEF"/>
    <w:rsid w:val="006B7F6A"/>
    <w:rsid w:val="006C059A"/>
    <w:rsid w:val="006C4484"/>
    <w:rsid w:val="006C4D85"/>
    <w:rsid w:val="006C5584"/>
    <w:rsid w:val="006C580A"/>
    <w:rsid w:val="006C5ED7"/>
    <w:rsid w:val="006C6B72"/>
    <w:rsid w:val="006C7890"/>
    <w:rsid w:val="006D1E69"/>
    <w:rsid w:val="006D376F"/>
    <w:rsid w:val="006D3BD9"/>
    <w:rsid w:val="006D524B"/>
    <w:rsid w:val="006D627B"/>
    <w:rsid w:val="006D67FB"/>
    <w:rsid w:val="006D6ED3"/>
    <w:rsid w:val="006E20C9"/>
    <w:rsid w:val="006E4E0C"/>
    <w:rsid w:val="006E5DA6"/>
    <w:rsid w:val="006E608B"/>
    <w:rsid w:val="006E61F6"/>
    <w:rsid w:val="006F057C"/>
    <w:rsid w:val="006F177D"/>
    <w:rsid w:val="006F1A4C"/>
    <w:rsid w:val="006F22DA"/>
    <w:rsid w:val="006F2EB3"/>
    <w:rsid w:val="006F3BB5"/>
    <w:rsid w:val="006F61E1"/>
    <w:rsid w:val="006F64F0"/>
    <w:rsid w:val="006F6988"/>
    <w:rsid w:val="00701C66"/>
    <w:rsid w:val="00703AC2"/>
    <w:rsid w:val="00703EAC"/>
    <w:rsid w:val="00705694"/>
    <w:rsid w:val="007059B0"/>
    <w:rsid w:val="00707C5A"/>
    <w:rsid w:val="00707EA4"/>
    <w:rsid w:val="00707F54"/>
    <w:rsid w:val="00710E25"/>
    <w:rsid w:val="007116B1"/>
    <w:rsid w:val="007123C2"/>
    <w:rsid w:val="007128B7"/>
    <w:rsid w:val="00714BEE"/>
    <w:rsid w:val="007150B2"/>
    <w:rsid w:val="00715C07"/>
    <w:rsid w:val="007163A8"/>
    <w:rsid w:val="00720AC6"/>
    <w:rsid w:val="00721215"/>
    <w:rsid w:val="00721F9F"/>
    <w:rsid w:val="007235F3"/>
    <w:rsid w:val="0072367F"/>
    <w:rsid w:val="00723BA5"/>
    <w:rsid w:val="00725DAB"/>
    <w:rsid w:val="00731669"/>
    <w:rsid w:val="007323B9"/>
    <w:rsid w:val="0073378D"/>
    <w:rsid w:val="007347CA"/>
    <w:rsid w:val="00735479"/>
    <w:rsid w:val="00735827"/>
    <w:rsid w:val="0073664B"/>
    <w:rsid w:val="007372EA"/>
    <w:rsid w:val="007373F9"/>
    <w:rsid w:val="007400CF"/>
    <w:rsid w:val="00745F89"/>
    <w:rsid w:val="007464E7"/>
    <w:rsid w:val="007467DB"/>
    <w:rsid w:val="00747A26"/>
    <w:rsid w:val="00747AAF"/>
    <w:rsid w:val="007518BE"/>
    <w:rsid w:val="00751C64"/>
    <w:rsid w:val="007529DD"/>
    <w:rsid w:val="00752C7F"/>
    <w:rsid w:val="00753668"/>
    <w:rsid w:val="00754BFA"/>
    <w:rsid w:val="00754DD2"/>
    <w:rsid w:val="00755704"/>
    <w:rsid w:val="00755B7D"/>
    <w:rsid w:val="00756246"/>
    <w:rsid w:val="007566B2"/>
    <w:rsid w:val="007567D8"/>
    <w:rsid w:val="00760274"/>
    <w:rsid w:val="0076086B"/>
    <w:rsid w:val="007608E1"/>
    <w:rsid w:val="007647E7"/>
    <w:rsid w:val="00767501"/>
    <w:rsid w:val="007675BE"/>
    <w:rsid w:val="00772C58"/>
    <w:rsid w:val="00773028"/>
    <w:rsid w:val="00782198"/>
    <w:rsid w:val="007833B6"/>
    <w:rsid w:val="00783B26"/>
    <w:rsid w:val="00786C4E"/>
    <w:rsid w:val="00787709"/>
    <w:rsid w:val="00790171"/>
    <w:rsid w:val="00790DE7"/>
    <w:rsid w:val="00790FC2"/>
    <w:rsid w:val="00791520"/>
    <w:rsid w:val="007919FF"/>
    <w:rsid w:val="007924BF"/>
    <w:rsid w:val="007935C5"/>
    <w:rsid w:val="00795096"/>
    <w:rsid w:val="00795B93"/>
    <w:rsid w:val="007965C1"/>
    <w:rsid w:val="00796C25"/>
    <w:rsid w:val="00796E32"/>
    <w:rsid w:val="007A19F0"/>
    <w:rsid w:val="007A2971"/>
    <w:rsid w:val="007A3D66"/>
    <w:rsid w:val="007A4D31"/>
    <w:rsid w:val="007A7B72"/>
    <w:rsid w:val="007B11AF"/>
    <w:rsid w:val="007B23FC"/>
    <w:rsid w:val="007B39D3"/>
    <w:rsid w:val="007B4200"/>
    <w:rsid w:val="007C00E4"/>
    <w:rsid w:val="007C0D59"/>
    <w:rsid w:val="007C255E"/>
    <w:rsid w:val="007C279A"/>
    <w:rsid w:val="007C28B4"/>
    <w:rsid w:val="007C38F9"/>
    <w:rsid w:val="007C5702"/>
    <w:rsid w:val="007C5B34"/>
    <w:rsid w:val="007C5E43"/>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0FD0"/>
    <w:rsid w:val="007F335A"/>
    <w:rsid w:val="007F4C91"/>
    <w:rsid w:val="007F5646"/>
    <w:rsid w:val="007F598E"/>
    <w:rsid w:val="00800A69"/>
    <w:rsid w:val="00800D4F"/>
    <w:rsid w:val="00802AE5"/>
    <w:rsid w:val="00802D8D"/>
    <w:rsid w:val="00803104"/>
    <w:rsid w:val="008034BB"/>
    <w:rsid w:val="008036B7"/>
    <w:rsid w:val="00805CA2"/>
    <w:rsid w:val="00806807"/>
    <w:rsid w:val="00807134"/>
    <w:rsid w:val="00807F64"/>
    <w:rsid w:val="008104FD"/>
    <w:rsid w:val="008128E1"/>
    <w:rsid w:val="00812901"/>
    <w:rsid w:val="0081366B"/>
    <w:rsid w:val="008157EA"/>
    <w:rsid w:val="00816C6E"/>
    <w:rsid w:val="00817D33"/>
    <w:rsid w:val="0082089A"/>
    <w:rsid w:val="00822978"/>
    <w:rsid w:val="00822FA4"/>
    <w:rsid w:val="008232B4"/>
    <w:rsid w:val="00825082"/>
    <w:rsid w:val="00826B9A"/>
    <w:rsid w:val="00827952"/>
    <w:rsid w:val="00830047"/>
    <w:rsid w:val="00830A68"/>
    <w:rsid w:val="00830DD8"/>
    <w:rsid w:val="00831207"/>
    <w:rsid w:val="00831370"/>
    <w:rsid w:val="008327E1"/>
    <w:rsid w:val="00840125"/>
    <w:rsid w:val="008412E1"/>
    <w:rsid w:val="00841E9B"/>
    <w:rsid w:val="00842CBE"/>
    <w:rsid w:val="008439CB"/>
    <w:rsid w:val="00844634"/>
    <w:rsid w:val="0085266D"/>
    <w:rsid w:val="00854BE1"/>
    <w:rsid w:val="00855723"/>
    <w:rsid w:val="00856058"/>
    <w:rsid w:val="008567F1"/>
    <w:rsid w:val="00856C52"/>
    <w:rsid w:val="008608C7"/>
    <w:rsid w:val="00860FB9"/>
    <w:rsid w:val="00861BFD"/>
    <w:rsid w:val="00862E6C"/>
    <w:rsid w:val="008658DF"/>
    <w:rsid w:val="00865E52"/>
    <w:rsid w:val="00866A99"/>
    <w:rsid w:val="00867DDC"/>
    <w:rsid w:val="0087055B"/>
    <w:rsid w:val="00871964"/>
    <w:rsid w:val="008749F7"/>
    <w:rsid w:val="00876F40"/>
    <w:rsid w:val="00877948"/>
    <w:rsid w:val="00877B4A"/>
    <w:rsid w:val="008816D8"/>
    <w:rsid w:val="00881922"/>
    <w:rsid w:val="008837A9"/>
    <w:rsid w:val="008867EF"/>
    <w:rsid w:val="0089102A"/>
    <w:rsid w:val="00892B68"/>
    <w:rsid w:val="00893DE8"/>
    <w:rsid w:val="008940FC"/>
    <w:rsid w:val="008941C6"/>
    <w:rsid w:val="00894828"/>
    <w:rsid w:val="00894C59"/>
    <w:rsid w:val="008977B2"/>
    <w:rsid w:val="008A1651"/>
    <w:rsid w:val="008A39F5"/>
    <w:rsid w:val="008A3B80"/>
    <w:rsid w:val="008A4702"/>
    <w:rsid w:val="008A47DD"/>
    <w:rsid w:val="008A595E"/>
    <w:rsid w:val="008A5AA0"/>
    <w:rsid w:val="008A5DAA"/>
    <w:rsid w:val="008B07FC"/>
    <w:rsid w:val="008B082A"/>
    <w:rsid w:val="008B2F9A"/>
    <w:rsid w:val="008B30EC"/>
    <w:rsid w:val="008B3D56"/>
    <w:rsid w:val="008B4871"/>
    <w:rsid w:val="008B6412"/>
    <w:rsid w:val="008C0C2B"/>
    <w:rsid w:val="008C21B1"/>
    <w:rsid w:val="008C35E5"/>
    <w:rsid w:val="008C3F8E"/>
    <w:rsid w:val="008C47FA"/>
    <w:rsid w:val="008C77BE"/>
    <w:rsid w:val="008D011A"/>
    <w:rsid w:val="008D0129"/>
    <w:rsid w:val="008D0238"/>
    <w:rsid w:val="008D0BA2"/>
    <w:rsid w:val="008D13D7"/>
    <w:rsid w:val="008D3BEB"/>
    <w:rsid w:val="008D4CBB"/>
    <w:rsid w:val="008D57F5"/>
    <w:rsid w:val="008D59DD"/>
    <w:rsid w:val="008D6269"/>
    <w:rsid w:val="008D669F"/>
    <w:rsid w:val="008D78C7"/>
    <w:rsid w:val="008D7EB3"/>
    <w:rsid w:val="008E08C6"/>
    <w:rsid w:val="008E20FC"/>
    <w:rsid w:val="008E224D"/>
    <w:rsid w:val="008E23C8"/>
    <w:rsid w:val="008E4057"/>
    <w:rsid w:val="008E59B8"/>
    <w:rsid w:val="008E6E10"/>
    <w:rsid w:val="008F076A"/>
    <w:rsid w:val="008F1BA1"/>
    <w:rsid w:val="008F260D"/>
    <w:rsid w:val="008F35E7"/>
    <w:rsid w:val="008F4AED"/>
    <w:rsid w:val="008F66EC"/>
    <w:rsid w:val="009000BF"/>
    <w:rsid w:val="00900357"/>
    <w:rsid w:val="009037BA"/>
    <w:rsid w:val="009039A9"/>
    <w:rsid w:val="00904C87"/>
    <w:rsid w:val="00906499"/>
    <w:rsid w:val="00913AC0"/>
    <w:rsid w:val="00913D8A"/>
    <w:rsid w:val="00916452"/>
    <w:rsid w:val="009172FA"/>
    <w:rsid w:val="0092238D"/>
    <w:rsid w:val="00922DD2"/>
    <w:rsid w:val="00923DC1"/>
    <w:rsid w:val="009247F9"/>
    <w:rsid w:val="0092530B"/>
    <w:rsid w:val="009270E6"/>
    <w:rsid w:val="009272B6"/>
    <w:rsid w:val="00927E8A"/>
    <w:rsid w:val="00930F7A"/>
    <w:rsid w:val="009311EA"/>
    <w:rsid w:val="0093325E"/>
    <w:rsid w:val="009333ED"/>
    <w:rsid w:val="00933B50"/>
    <w:rsid w:val="00933C67"/>
    <w:rsid w:val="009340D2"/>
    <w:rsid w:val="0093766B"/>
    <w:rsid w:val="00940968"/>
    <w:rsid w:val="0094208C"/>
    <w:rsid w:val="0094235B"/>
    <w:rsid w:val="00942B8E"/>
    <w:rsid w:val="00942F17"/>
    <w:rsid w:val="009440C1"/>
    <w:rsid w:val="009472C5"/>
    <w:rsid w:val="00947577"/>
    <w:rsid w:val="009477E5"/>
    <w:rsid w:val="0095082B"/>
    <w:rsid w:val="00951BDC"/>
    <w:rsid w:val="0095203B"/>
    <w:rsid w:val="0095229C"/>
    <w:rsid w:val="009528E2"/>
    <w:rsid w:val="00952CEF"/>
    <w:rsid w:val="00953A11"/>
    <w:rsid w:val="00953A2E"/>
    <w:rsid w:val="00953FAC"/>
    <w:rsid w:val="00954439"/>
    <w:rsid w:val="00954920"/>
    <w:rsid w:val="00955421"/>
    <w:rsid w:val="00956ACB"/>
    <w:rsid w:val="00957EA1"/>
    <w:rsid w:val="00960DF8"/>
    <w:rsid w:val="009651DB"/>
    <w:rsid w:val="00966427"/>
    <w:rsid w:val="00972F0A"/>
    <w:rsid w:val="00973F4F"/>
    <w:rsid w:val="00974340"/>
    <w:rsid w:val="00976821"/>
    <w:rsid w:val="009776C7"/>
    <w:rsid w:val="00977C9C"/>
    <w:rsid w:val="009804EF"/>
    <w:rsid w:val="00982248"/>
    <w:rsid w:val="009826C6"/>
    <w:rsid w:val="00983E4B"/>
    <w:rsid w:val="0098530B"/>
    <w:rsid w:val="00986336"/>
    <w:rsid w:val="00990E9C"/>
    <w:rsid w:val="00990FE6"/>
    <w:rsid w:val="00993308"/>
    <w:rsid w:val="009934CC"/>
    <w:rsid w:val="00994542"/>
    <w:rsid w:val="00994908"/>
    <w:rsid w:val="009970E1"/>
    <w:rsid w:val="00997C6D"/>
    <w:rsid w:val="009A07AE"/>
    <w:rsid w:val="009A2DF9"/>
    <w:rsid w:val="009A46D1"/>
    <w:rsid w:val="009A6C0E"/>
    <w:rsid w:val="009A7507"/>
    <w:rsid w:val="009A7E9D"/>
    <w:rsid w:val="009B160B"/>
    <w:rsid w:val="009B18B7"/>
    <w:rsid w:val="009B2679"/>
    <w:rsid w:val="009B2C8F"/>
    <w:rsid w:val="009B3C83"/>
    <w:rsid w:val="009B4710"/>
    <w:rsid w:val="009B4FEA"/>
    <w:rsid w:val="009B67AB"/>
    <w:rsid w:val="009B6E95"/>
    <w:rsid w:val="009C0E07"/>
    <w:rsid w:val="009C237B"/>
    <w:rsid w:val="009C246D"/>
    <w:rsid w:val="009C2BA3"/>
    <w:rsid w:val="009C523F"/>
    <w:rsid w:val="009C5D61"/>
    <w:rsid w:val="009C6BE6"/>
    <w:rsid w:val="009C7957"/>
    <w:rsid w:val="009D164A"/>
    <w:rsid w:val="009D389A"/>
    <w:rsid w:val="009D69C5"/>
    <w:rsid w:val="009D7930"/>
    <w:rsid w:val="009E4B36"/>
    <w:rsid w:val="009E4D80"/>
    <w:rsid w:val="009E52CC"/>
    <w:rsid w:val="009E5A93"/>
    <w:rsid w:val="009E5EB5"/>
    <w:rsid w:val="009F07ED"/>
    <w:rsid w:val="009F1366"/>
    <w:rsid w:val="009F16FD"/>
    <w:rsid w:val="009F29B3"/>
    <w:rsid w:val="009F3F89"/>
    <w:rsid w:val="009F65A2"/>
    <w:rsid w:val="009F6CE4"/>
    <w:rsid w:val="00A0404D"/>
    <w:rsid w:val="00A05F92"/>
    <w:rsid w:val="00A10B01"/>
    <w:rsid w:val="00A124A1"/>
    <w:rsid w:val="00A1258C"/>
    <w:rsid w:val="00A1301D"/>
    <w:rsid w:val="00A14195"/>
    <w:rsid w:val="00A1516C"/>
    <w:rsid w:val="00A16FB7"/>
    <w:rsid w:val="00A20113"/>
    <w:rsid w:val="00A20D78"/>
    <w:rsid w:val="00A2107D"/>
    <w:rsid w:val="00A2215F"/>
    <w:rsid w:val="00A22839"/>
    <w:rsid w:val="00A23E19"/>
    <w:rsid w:val="00A25CEF"/>
    <w:rsid w:val="00A26DD6"/>
    <w:rsid w:val="00A278D3"/>
    <w:rsid w:val="00A30DD9"/>
    <w:rsid w:val="00A31A56"/>
    <w:rsid w:val="00A31B66"/>
    <w:rsid w:val="00A31E33"/>
    <w:rsid w:val="00A33185"/>
    <w:rsid w:val="00A3338A"/>
    <w:rsid w:val="00A33509"/>
    <w:rsid w:val="00A33FB5"/>
    <w:rsid w:val="00A344B1"/>
    <w:rsid w:val="00A34A58"/>
    <w:rsid w:val="00A34E3B"/>
    <w:rsid w:val="00A36B2C"/>
    <w:rsid w:val="00A41043"/>
    <w:rsid w:val="00A41221"/>
    <w:rsid w:val="00A418CE"/>
    <w:rsid w:val="00A440F6"/>
    <w:rsid w:val="00A44B40"/>
    <w:rsid w:val="00A50427"/>
    <w:rsid w:val="00A515CA"/>
    <w:rsid w:val="00A51F00"/>
    <w:rsid w:val="00A52131"/>
    <w:rsid w:val="00A53B04"/>
    <w:rsid w:val="00A53EAA"/>
    <w:rsid w:val="00A54BFC"/>
    <w:rsid w:val="00A556C0"/>
    <w:rsid w:val="00A570A3"/>
    <w:rsid w:val="00A61A8D"/>
    <w:rsid w:val="00A61CC6"/>
    <w:rsid w:val="00A62208"/>
    <w:rsid w:val="00A6342E"/>
    <w:rsid w:val="00A6443C"/>
    <w:rsid w:val="00A6449E"/>
    <w:rsid w:val="00A658F6"/>
    <w:rsid w:val="00A65CD9"/>
    <w:rsid w:val="00A661F4"/>
    <w:rsid w:val="00A66B79"/>
    <w:rsid w:val="00A70641"/>
    <w:rsid w:val="00A71395"/>
    <w:rsid w:val="00A71BFD"/>
    <w:rsid w:val="00A71CD7"/>
    <w:rsid w:val="00A7210D"/>
    <w:rsid w:val="00A7271A"/>
    <w:rsid w:val="00A72DD7"/>
    <w:rsid w:val="00A72F97"/>
    <w:rsid w:val="00A80770"/>
    <w:rsid w:val="00A80821"/>
    <w:rsid w:val="00A81A0F"/>
    <w:rsid w:val="00A81E19"/>
    <w:rsid w:val="00A83EA4"/>
    <w:rsid w:val="00A8468F"/>
    <w:rsid w:val="00A91852"/>
    <w:rsid w:val="00A91C08"/>
    <w:rsid w:val="00A94305"/>
    <w:rsid w:val="00A95191"/>
    <w:rsid w:val="00A953C2"/>
    <w:rsid w:val="00A9620D"/>
    <w:rsid w:val="00A976C1"/>
    <w:rsid w:val="00AA1332"/>
    <w:rsid w:val="00AA41E5"/>
    <w:rsid w:val="00AA528F"/>
    <w:rsid w:val="00AA5B4B"/>
    <w:rsid w:val="00AA6AFE"/>
    <w:rsid w:val="00AA6CE5"/>
    <w:rsid w:val="00AB03EE"/>
    <w:rsid w:val="00AB1262"/>
    <w:rsid w:val="00AB2633"/>
    <w:rsid w:val="00AB4082"/>
    <w:rsid w:val="00AB501D"/>
    <w:rsid w:val="00AB6724"/>
    <w:rsid w:val="00AB795F"/>
    <w:rsid w:val="00AC1FF2"/>
    <w:rsid w:val="00AC2437"/>
    <w:rsid w:val="00AC6312"/>
    <w:rsid w:val="00AC666D"/>
    <w:rsid w:val="00AD1A1E"/>
    <w:rsid w:val="00AD2A00"/>
    <w:rsid w:val="00AD3803"/>
    <w:rsid w:val="00AD3D28"/>
    <w:rsid w:val="00AD4935"/>
    <w:rsid w:val="00AD4BD1"/>
    <w:rsid w:val="00AD4FF7"/>
    <w:rsid w:val="00AD560E"/>
    <w:rsid w:val="00AD6D80"/>
    <w:rsid w:val="00AD79C6"/>
    <w:rsid w:val="00AE1CFD"/>
    <w:rsid w:val="00AE3F29"/>
    <w:rsid w:val="00AE44D4"/>
    <w:rsid w:val="00AE56BA"/>
    <w:rsid w:val="00AE640A"/>
    <w:rsid w:val="00AE6F45"/>
    <w:rsid w:val="00AE7033"/>
    <w:rsid w:val="00AE7946"/>
    <w:rsid w:val="00AF011A"/>
    <w:rsid w:val="00AF06B3"/>
    <w:rsid w:val="00AF2552"/>
    <w:rsid w:val="00AF347B"/>
    <w:rsid w:val="00AF3E9C"/>
    <w:rsid w:val="00AF517D"/>
    <w:rsid w:val="00AF59F9"/>
    <w:rsid w:val="00AF66F2"/>
    <w:rsid w:val="00AF770A"/>
    <w:rsid w:val="00B0172D"/>
    <w:rsid w:val="00B02D20"/>
    <w:rsid w:val="00B05C1A"/>
    <w:rsid w:val="00B05C35"/>
    <w:rsid w:val="00B0691F"/>
    <w:rsid w:val="00B06CC3"/>
    <w:rsid w:val="00B06E89"/>
    <w:rsid w:val="00B07CC8"/>
    <w:rsid w:val="00B1044F"/>
    <w:rsid w:val="00B1160D"/>
    <w:rsid w:val="00B11849"/>
    <w:rsid w:val="00B13FB7"/>
    <w:rsid w:val="00B159A3"/>
    <w:rsid w:val="00B1698A"/>
    <w:rsid w:val="00B16AB3"/>
    <w:rsid w:val="00B17307"/>
    <w:rsid w:val="00B20310"/>
    <w:rsid w:val="00B21C50"/>
    <w:rsid w:val="00B228EA"/>
    <w:rsid w:val="00B24DC0"/>
    <w:rsid w:val="00B27727"/>
    <w:rsid w:val="00B27CB1"/>
    <w:rsid w:val="00B30E97"/>
    <w:rsid w:val="00B329CE"/>
    <w:rsid w:val="00B34FB7"/>
    <w:rsid w:val="00B3530B"/>
    <w:rsid w:val="00B36716"/>
    <w:rsid w:val="00B37833"/>
    <w:rsid w:val="00B40527"/>
    <w:rsid w:val="00B41786"/>
    <w:rsid w:val="00B42BF2"/>
    <w:rsid w:val="00B43F45"/>
    <w:rsid w:val="00B444E6"/>
    <w:rsid w:val="00B457DF"/>
    <w:rsid w:val="00B46B5E"/>
    <w:rsid w:val="00B51D00"/>
    <w:rsid w:val="00B52011"/>
    <w:rsid w:val="00B53EFF"/>
    <w:rsid w:val="00B543A7"/>
    <w:rsid w:val="00B543AB"/>
    <w:rsid w:val="00B5452E"/>
    <w:rsid w:val="00B54AFA"/>
    <w:rsid w:val="00B54B72"/>
    <w:rsid w:val="00B60475"/>
    <w:rsid w:val="00B60857"/>
    <w:rsid w:val="00B61459"/>
    <w:rsid w:val="00B62108"/>
    <w:rsid w:val="00B632EB"/>
    <w:rsid w:val="00B6360B"/>
    <w:rsid w:val="00B65073"/>
    <w:rsid w:val="00B6533F"/>
    <w:rsid w:val="00B66810"/>
    <w:rsid w:val="00B66A78"/>
    <w:rsid w:val="00B671A4"/>
    <w:rsid w:val="00B7003E"/>
    <w:rsid w:val="00B731FC"/>
    <w:rsid w:val="00B75D7A"/>
    <w:rsid w:val="00B762E9"/>
    <w:rsid w:val="00B763F3"/>
    <w:rsid w:val="00B77CFB"/>
    <w:rsid w:val="00B804E8"/>
    <w:rsid w:val="00B82086"/>
    <w:rsid w:val="00B83B56"/>
    <w:rsid w:val="00B846B4"/>
    <w:rsid w:val="00B852B6"/>
    <w:rsid w:val="00B87D4F"/>
    <w:rsid w:val="00B94016"/>
    <w:rsid w:val="00B948C4"/>
    <w:rsid w:val="00B95259"/>
    <w:rsid w:val="00B9556A"/>
    <w:rsid w:val="00BA08ED"/>
    <w:rsid w:val="00BA1A64"/>
    <w:rsid w:val="00BA1B32"/>
    <w:rsid w:val="00BA2A1D"/>
    <w:rsid w:val="00BA7B29"/>
    <w:rsid w:val="00BB25A7"/>
    <w:rsid w:val="00BB2D4B"/>
    <w:rsid w:val="00BB4188"/>
    <w:rsid w:val="00BB56CB"/>
    <w:rsid w:val="00BB63EC"/>
    <w:rsid w:val="00BB687F"/>
    <w:rsid w:val="00BB771D"/>
    <w:rsid w:val="00BC0021"/>
    <w:rsid w:val="00BC05A6"/>
    <w:rsid w:val="00BC0D49"/>
    <w:rsid w:val="00BC0E21"/>
    <w:rsid w:val="00BC1350"/>
    <w:rsid w:val="00BC1579"/>
    <w:rsid w:val="00BC200E"/>
    <w:rsid w:val="00BC206C"/>
    <w:rsid w:val="00BC3B81"/>
    <w:rsid w:val="00BC431A"/>
    <w:rsid w:val="00BC4624"/>
    <w:rsid w:val="00BC67C8"/>
    <w:rsid w:val="00BC6A1D"/>
    <w:rsid w:val="00BC70DB"/>
    <w:rsid w:val="00BC74D1"/>
    <w:rsid w:val="00BC77DF"/>
    <w:rsid w:val="00BD2759"/>
    <w:rsid w:val="00BD3890"/>
    <w:rsid w:val="00BD51A3"/>
    <w:rsid w:val="00BD5404"/>
    <w:rsid w:val="00BD571C"/>
    <w:rsid w:val="00BD5A5F"/>
    <w:rsid w:val="00BD6CCD"/>
    <w:rsid w:val="00BD6E46"/>
    <w:rsid w:val="00BD7350"/>
    <w:rsid w:val="00BE0099"/>
    <w:rsid w:val="00BE040B"/>
    <w:rsid w:val="00BE1172"/>
    <w:rsid w:val="00BE1ACC"/>
    <w:rsid w:val="00BE1EE9"/>
    <w:rsid w:val="00BE265E"/>
    <w:rsid w:val="00BE351E"/>
    <w:rsid w:val="00BE375D"/>
    <w:rsid w:val="00BE5E6A"/>
    <w:rsid w:val="00BE74D2"/>
    <w:rsid w:val="00BF1336"/>
    <w:rsid w:val="00BF25AB"/>
    <w:rsid w:val="00BF78B8"/>
    <w:rsid w:val="00C018C0"/>
    <w:rsid w:val="00C01A35"/>
    <w:rsid w:val="00C027DA"/>
    <w:rsid w:val="00C03772"/>
    <w:rsid w:val="00C039E9"/>
    <w:rsid w:val="00C04EDA"/>
    <w:rsid w:val="00C064CA"/>
    <w:rsid w:val="00C06A2B"/>
    <w:rsid w:val="00C07863"/>
    <w:rsid w:val="00C102C7"/>
    <w:rsid w:val="00C1159D"/>
    <w:rsid w:val="00C119A2"/>
    <w:rsid w:val="00C128DD"/>
    <w:rsid w:val="00C1480B"/>
    <w:rsid w:val="00C1544E"/>
    <w:rsid w:val="00C17354"/>
    <w:rsid w:val="00C21509"/>
    <w:rsid w:val="00C27838"/>
    <w:rsid w:val="00C27BCB"/>
    <w:rsid w:val="00C30FE7"/>
    <w:rsid w:val="00C327E5"/>
    <w:rsid w:val="00C34991"/>
    <w:rsid w:val="00C35B6B"/>
    <w:rsid w:val="00C372C5"/>
    <w:rsid w:val="00C373EB"/>
    <w:rsid w:val="00C407B8"/>
    <w:rsid w:val="00C414D4"/>
    <w:rsid w:val="00C43D14"/>
    <w:rsid w:val="00C444C1"/>
    <w:rsid w:val="00C455B5"/>
    <w:rsid w:val="00C462A0"/>
    <w:rsid w:val="00C46BD5"/>
    <w:rsid w:val="00C509CD"/>
    <w:rsid w:val="00C51080"/>
    <w:rsid w:val="00C51734"/>
    <w:rsid w:val="00C520AF"/>
    <w:rsid w:val="00C52FD6"/>
    <w:rsid w:val="00C53E8A"/>
    <w:rsid w:val="00C54C4C"/>
    <w:rsid w:val="00C55F52"/>
    <w:rsid w:val="00C57267"/>
    <w:rsid w:val="00C573AB"/>
    <w:rsid w:val="00C57DF6"/>
    <w:rsid w:val="00C607DA"/>
    <w:rsid w:val="00C61021"/>
    <w:rsid w:val="00C61D7F"/>
    <w:rsid w:val="00C61F1E"/>
    <w:rsid w:val="00C6244F"/>
    <w:rsid w:val="00C62B63"/>
    <w:rsid w:val="00C65259"/>
    <w:rsid w:val="00C6595B"/>
    <w:rsid w:val="00C66DF0"/>
    <w:rsid w:val="00C7052B"/>
    <w:rsid w:val="00C72B5B"/>
    <w:rsid w:val="00C742E3"/>
    <w:rsid w:val="00C75F94"/>
    <w:rsid w:val="00C761D4"/>
    <w:rsid w:val="00C76F6F"/>
    <w:rsid w:val="00C775D2"/>
    <w:rsid w:val="00C8102B"/>
    <w:rsid w:val="00C810A7"/>
    <w:rsid w:val="00C811D6"/>
    <w:rsid w:val="00C81C10"/>
    <w:rsid w:val="00C82D13"/>
    <w:rsid w:val="00C84474"/>
    <w:rsid w:val="00C8506F"/>
    <w:rsid w:val="00C91150"/>
    <w:rsid w:val="00C91ADC"/>
    <w:rsid w:val="00C91E39"/>
    <w:rsid w:val="00C920C9"/>
    <w:rsid w:val="00C93E9C"/>
    <w:rsid w:val="00C942E1"/>
    <w:rsid w:val="00C94F64"/>
    <w:rsid w:val="00C97CDB"/>
    <w:rsid w:val="00CA0075"/>
    <w:rsid w:val="00CA26B0"/>
    <w:rsid w:val="00CA2E04"/>
    <w:rsid w:val="00CA2FF3"/>
    <w:rsid w:val="00CA4CC4"/>
    <w:rsid w:val="00CA5C65"/>
    <w:rsid w:val="00CA5F6E"/>
    <w:rsid w:val="00CA70AF"/>
    <w:rsid w:val="00CA79C7"/>
    <w:rsid w:val="00CB01F3"/>
    <w:rsid w:val="00CB02E1"/>
    <w:rsid w:val="00CB1CAF"/>
    <w:rsid w:val="00CB1D88"/>
    <w:rsid w:val="00CB1DF2"/>
    <w:rsid w:val="00CB25C5"/>
    <w:rsid w:val="00CB2A23"/>
    <w:rsid w:val="00CB2AAA"/>
    <w:rsid w:val="00CB3F47"/>
    <w:rsid w:val="00CB4CE7"/>
    <w:rsid w:val="00CB53AB"/>
    <w:rsid w:val="00CB6DCF"/>
    <w:rsid w:val="00CB7869"/>
    <w:rsid w:val="00CC17C2"/>
    <w:rsid w:val="00CC258C"/>
    <w:rsid w:val="00CC2797"/>
    <w:rsid w:val="00CC368A"/>
    <w:rsid w:val="00CC3A3C"/>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6C7F"/>
    <w:rsid w:val="00CD7926"/>
    <w:rsid w:val="00CD7D5D"/>
    <w:rsid w:val="00CE48E2"/>
    <w:rsid w:val="00CE5136"/>
    <w:rsid w:val="00CE5938"/>
    <w:rsid w:val="00CE59BC"/>
    <w:rsid w:val="00CE5AAD"/>
    <w:rsid w:val="00CE6A9E"/>
    <w:rsid w:val="00CE6B81"/>
    <w:rsid w:val="00CF0FC4"/>
    <w:rsid w:val="00CF150C"/>
    <w:rsid w:val="00CF1706"/>
    <w:rsid w:val="00CF1E61"/>
    <w:rsid w:val="00CF48EF"/>
    <w:rsid w:val="00CF613A"/>
    <w:rsid w:val="00CF6932"/>
    <w:rsid w:val="00CF7B6D"/>
    <w:rsid w:val="00D01F52"/>
    <w:rsid w:val="00D01FE3"/>
    <w:rsid w:val="00D03ACC"/>
    <w:rsid w:val="00D04F65"/>
    <w:rsid w:val="00D06CA3"/>
    <w:rsid w:val="00D071BB"/>
    <w:rsid w:val="00D07F46"/>
    <w:rsid w:val="00D122E9"/>
    <w:rsid w:val="00D12E6F"/>
    <w:rsid w:val="00D12F50"/>
    <w:rsid w:val="00D1552E"/>
    <w:rsid w:val="00D170E5"/>
    <w:rsid w:val="00D207C1"/>
    <w:rsid w:val="00D207F0"/>
    <w:rsid w:val="00D21155"/>
    <w:rsid w:val="00D2455E"/>
    <w:rsid w:val="00D2519D"/>
    <w:rsid w:val="00D25AD6"/>
    <w:rsid w:val="00D2600C"/>
    <w:rsid w:val="00D26D87"/>
    <w:rsid w:val="00D31229"/>
    <w:rsid w:val="00D3271A"/>
    <w:rsid w:val="00D33134"/>
    <w:rsid w:val="00D34688"/>
    <w:rsid w:val="00D358F9"/>
    <w:rsid w:val="00D373C8"/>
    <w:rsid w:val="00D37F2F"/>
    <w:rsid w:val="00D40765"/>
    <w:rsid w:val="00D415B9"/>
    <w:rsid w:val="00D45966"/>
    <w:rsid w:val="00D461E5"/>
    <w:rsid w:val="00D47C3D"/>
    <w:rsid w:val="00D51405"/>
    <w:rsid w:val="00D528E8"/>
    <w:rsid w:val="00D53416"/>
    <w:rsid w:val="00D57546"/>
    <w:rsid w:val="00D61949"/>
    <w:rsid w:val="00D62AA2"/>
    <w:rsid w:val="00D656A1"/>
    <w:rsid w:val="00D65F08"/>
    <w:rsid w:val="00D66019"/>
    <w:rsid w:val="00D665EB"/>
    <w:rsid w:val="00D66DDB"/>
    <w:rsid w:val="00D66F77"/>
    <w:rsid w:val="00D71273"/>
    <w:rsid w:val="00D71F49"/>
    <w:rsid w:val="00D71F7F"/>
    <w:rsid w:val="00D7211A"/>
    <w:rsid w:val="00D73FC4"/>
    <w:rsid w:val="00D771D0"/>
    <w:rsid w:val="00D772A3"/>
    <w:rsid w:val="00D775D6"/>
    <w:rsid w:val="00D835CF"/>
    <w:rsid w:val="00D84D5B"/>
    <w:rsid w:val="00D85964"/>
    <w:rsid w:val="00D860D7"/>
    <w:rsid w:val="00D86FEB"/>
    <w:rsid w:val="00D9149A"/>
    <w:rsid w:val="00D94AAF"/>
    <w:rsid w:val="00D967D0"/>
    <w:rsid w:val="00D972CF"/>
    <w:rsid w:val="00DA0326"/>
    <w:rsid w:val="00DA1094"/>
    <w:rsid w:val="00DA207D"/>
    <w:rsid w:val="00DA2684"/>
    <w:rsid w:val="00DA26FB"/>
    <w:rsid w:val="00DA2A02"/>
    <w:rsid w:val="00DA3966"/>
    <w:rsid w:val="00DA4780"/>
    <w:rsid w:val="00DA4941"/>
    <w:rsid w:val="00DA58B7"/>
    <w:rsid w:val="00DA65B5"/>
    <w:rsid w:val="00DA7295"/>
    <w:rsid w:val="00DB0B8C"/>
    <w:rsid w:val="00DB0F1C"/>
    <w:rsid w:val="00DB5385"/>
    <w:rsid w:val="00DB60B4"/>
    <w:rsid w:val="00DB648D"/>
    <w:rsid w:val="00DB6C3D"/>
    <w:rsid w:val="00DB6CE2"/>
    <w:rsid w:val="00DC02F1"/>
    <w:rsid w:val="00DC2B1B"/>
    <w:rsid w:val="00DC336E"/>
    <w:rsid w:val="00DC54FD"/>
    <w:rsid w:val="00DC5ACF"/>
    <w:rsid w:val="00DC6EA1"/>
    <w:rsid w:val="00DC7010"/>
    <w:rsid w:val="00DC7888"/>
    <w:rsid w:val="00DC7E71"/>
    <w:rsid w:val="00DC7E7A"/>
    <w:rsid w:val="00DD0399"/>
    <w:rsid w:val="00DD22D7"/>
    <w:rsid w:val="00DD3E3B"/>
    <w:rsid w:val="00DD47AD"/>
    <w:rsid w:val="00DD6920"/>
    <w:rsid w:val="00DD6F38"/>
    <w:rsid w:val="00DD7468"/>
    <w:rsid w:val="00DD7DF5"/>
    <w:rsid w:val="00DE25E9"/>
    <w:rsid w:val="00DE3D5E"/>
    <w:rsid w:val="00DE67B7"/>
    <w:rsid w:val="00DE71D3"/>
    <w:rsid w:val="00DE72CF"/>
    <w:rsid w:val="00DE7AFC"/>
    <w:rsid w:val="00DF0671"/>
    <w:rsid w:val="00DF08A0"/>
    <w:rsid w:val="00DF12E0"/>
    <w:rsid w:val="00DF19C4"/>
    <w:rsid w:val="00DF3190"/>
    <w:rsid w:val="00DF33F5"/>
    <w:rsid w:val="00DF5888"/>
    <w:rsid w:val="00E02FE9"/>
    <w:rsid w:val="00E0303C"/>
    <w:rsid w:val="00E032C7"/>
    <w:rsid w:val="00E037F5"/>
    <w:rsid w:val="00E1049C"/>
    <w:rsid w:val="00E1162B"/>
    <w:rsid w:val="00E12917"/>
    <w:rsid w:val="00E136DA"/>
    <w:rsid w:val="00E1686D"/>
    <w:rsid w:val="00E16D65"/>
    <w:rsid w:val="00E20691"/>
    <w:rsid w:val="00E21C4D"/>
    <w:rsid w:val="00E22B25"/>
    <w:rsid w:val="00E22CCA"/>
    <w:rsid w:val="00E2604A"/>
    <w:rsid w:val="00E2666F"/>
    <w:rsid w:val="00E269CF"/>
    <w:rsid w:val="00E4062A"/>
    <w:rsid w:val="00E41596"/>
    <w:rsid w:val="00E41F8A"/>
    <w:rsid w:val="00E4256F"/>
    <w:rsid w:val="00E42991"/>
    <w:rsid w:val="00E42BAC"/>
    <w:rsid w:val="00E42D6E"/>
    <w:rsid w:val="00E43256"/>
    <w:rsid w:val="00E433A1"/>
    <w:rsid w:val="00E43B5D"/>
    <w:rsid w:val="00E5120E"/>
    <w:rsid w:val="00E52307"/>
    <w:rsid w:val="00E52FAF"/>
    <w:rsid w:val="00E5312A"/>
    <w:rsid w:val="00E54211"/>
    <w:rsid w:val="00E54898"/>
    <w:rsid w:val="00E552B8"/>
    <w:rsid w:val="00E5543D"/>
    <w:rsid w:val="00E56319"/>
    <w:rsid w:val="00E56F07"/>
    <w:rsid w:val="00E63C4C"/>
    <w:rsid w:val="00E66A2A"/>
    <w:rsid w:val="00E67574"/>
    <w:rsid w:val="00E70760"/>
    <w:rsid w:val="00E7133E"/>
    <w:rsid w:val="00E71B40"/>
    <w:rsid w:val="00E72C93"/>
    <w:rsid w:val="00E74608"/>
    <w:rsid w:val="00E76761"/>
    <w:rsid w:val="00E7713B"/>
    <w:rsid w:val="00E814F9"/>
    <w:rsid w:val="00E81C10"/>
    <w:rsid w:val="00E81EEA"/>
    <w:rsid w:val="00E82957"/>
    <w:rsid w:val="00E84A9B"/>
    <w:rsid w:val="00E85725"/>
    <w:rsid w:val="00E85E95"/>
    <w:rsid w:val="00E86A02"/>
    <w:rsid w:val="00E90446"/>
    <w:rsid w:val="00E91780"/>
    <w:rsid w:val="00E91B67"/>
    <w:rsid w:val="00E9253C"/>
    <w:rsid w:val="00E938FE"/>
    <w:rsid w:val="00E96A83"/>
    <w:rsid w:val="00E971A9"/>
    <w:rsid w:val="00E971D9"/>
    <w:rsid w:val="00E9752B"/>
    <w:rsid w:val="00EA1B43"/>
    <w:rsid w:val="00EA1F45"/>
    <w:rsid w:val="00EA216C"/>
    <w:rsid w:val="00EA30B3"/>
    <w:rsid w:val="00EA5874"/>
    <w:rsid w:val="00EA5CF8"/>
    <w:rsid w:val="00EA6BA3"/>
    <w:rsid w:val="00EB1A01"/>
    <w:rsid w:val="00EB3E04"/>
    <w:rsid w:val="00EB458E"/>
    <w:rsid w:val="00EB45B5"/>
    <w:rsid w:val="00EB4B9A"/>
    <w:rsid w:val="00EB52D3"/>
    <w:rsid w:val="00EB579A"/>
    <w:rsid w:val="00EB5B15"/>
    <w:rsid w:val="00EB5E57"/>
    <w:rsid w:val="00EB61DB"/>
    <w:rsid w:val="00EB6676"/>
    <w:rsid w:val="00EB7100"/>
    <w:rsid w:val="00EC1B92"/>
    <w:rsid w:val="00EC1CDE"/>
    <w:rsid w:val="00EC3315"/>
    <w:rsid w:val="00ED1DE8"/>
    <w:rsid w:val="00ED24A9"/>
    <w:rsid w:val="00ED3EEB"/>
    <w:rsid w:val="00ED4AFD"/>
    <w:rsid w:val="00ED691E"/>
    <w:rsid w:val="00ED6A24"/>
    <w:rsid w:val="00EE0121"/>
    <w:rsid w:val="00EE2675"/>
    <w:rsid w:val="00EE4FBE"/>
    <w:rsid w:val="00EE6335"/>
    <w:rsid w:val="00EF3138"/>
    <w:rsid w:val="00EF32D2"/>
    <w:rsid w:val="00EF402C"/>
    <w:rsid w:val="00EF4214"/>
    <w:rsid w:val="00EF48F9"/>
    <w:rsid w:val="00EF4FF7"/>
    <w:rsid w:val="00EF5870"/>
    <w:rsid w:val="00EF5B8A"/>
    <w:rsid w:val="00EF5C61"/>
    <w:rsid w:val="00EF5E0A"/>
    <w:rsid w:val="00EF6299"/>
    <w:rsid w:val="00EF757C"/>
    <w:rsid w:val="00F013AA"/>
    <w:rsid w:val="00F048C8"/>
    <w:rsid w:val="00F062E1"/>
    <w:rsid w:val="00F073D2"/>
    <w:rsid w:val="00F1037E"/>
    <w:rsid w:val="00F10DAD"/>
    <w:rsid w:val="00F11BE9"/>
    <w:rsid w:val="00F12AC4"/>
    <w:rsid w:val="00F15789"/>
    <w:rsid w:val="00F16B75"/>
    <w:rsid w:val="00F16C1D"/>
    <w:rsid w:val="00F17392"/>
    <w:rsid w:val="00F20D62"/>
    <w:rsid w:val="00F22E4D"/>
    <w:rsid w:val="00F27BA7"/>
    <w:rsid w:val="00F27D40"/>
    <w:rsid w:val="00F3141F"/>
    <w:rsid w:val="00F3209A"/>
    <w:rsid w:val="00F34D3C"/>
    <w:rsid w:val="00F360E8"/>
    <w:rsid w:val="00F370E5"/>
    <w:rsid w:val="00F42644"/>
    <w:rsid w:val="00F44CCF"/>
    <w:rsid w:val="00F505C5"/>
    <w:rsid w:val="00F512A4"/>
    <w:rsid w:val="00F51A83"/>
    <w:rsid w:val="00F52080"/>
    <w:rsid w:val="00F52920"/>
    <w:rsid w:val="00F52BF3"/>
    <w:rsid w:val="00F5330D"/>
    <w:rsid w:val="00F539B5"/>
    <w:rsid w:val="00F548CD"/>
    <w:rsid w:val="00F54CA0"/>
    <w:rsid w:val="00F5649A"/>
    <w:rsid w:val="00F5674D"/>
    <w:rsid w:val="00F6072B"/>
    <w:rsid w:val="00F608F4"/>
    <w:rsid w:val="00F60D76"/>
    <w:rsid w:val="00F61682"/>
    <w:rsid w:val="00F6199F"/>
    <w:rsid w:val="00F6344A"/>
    <w:rsid w:val="00F63C56"/>
    <w:rsid w:val="00F641A4"/>
    <w:rsid w:val="00F65BEB"/>
    <w:rsid w:val="00F65C3C"/>
    <w:rsid w:val="00F65F9C"/>
    <w:rsid w:val="00F66253"/>
    <w:rsid w:val="00F678AF"/>
    <w:rsid w:val="00F67DC5"/>
    <w:rsid w:val="00F71E1A"/>
    <w:rsid w:val="00F72177"/>
    <w:rsid w:val="00F731D6"/>
    <w:rsid w:val="00F74958"/>
    <w:rsid w:val="00F75654"/>
    <w:rsid w:val="00F771E5"/>
    <w:rsid w:val="00F77BF5"/>
    <w:rsid w:val="00F77EFC"/>
    <w:rsid w:val="00F82342"/>
    <w:rsid w:val="00F82419"/>
    <w:rsid w:val="00F825CF"/>
    <w:rsid w:val="00F83F04"/>
    <w:rsid w:val="00F862BF"/>
    <w:rsid w:val="00F86520"/>
    <w:rsid w:val="00F877DB"/>
    <w:rsid w:val="00F90145"/>
    <w:rsid w:val="00F90841"/>
    <w:rsid w:val="00F91AE4"/>
    <w:rsid w:val="00F93C8B"/>
    <w:rsid w:val="00F959DD"/>
    <w:rsid w:val="00F960D5"/>
    <w:rsid w:val="00F960EA"/>
    <w:rsid w:val="00F96554"/>
    <w:rsid w:val="00F979D0"/>
    <w:rsid w:val="00FA0D60"/>
    <w:rsid w:val="00FA1F70"/>
    <w:rsid w:val="00FA3AA7"/>
    <w:rsid w:val="00FA4BF4"/>
    <w:rsid w:val="00FA67D2"/>
    <w:rsid w:val="00FB0BB7"/>
    <w:rsid w:val="00FB105A"/>
    <w:rsid w:val="00FB1231"/>
    <w:rsid w:val="00FB1391"/>
    <w:rsid w:val="00FB17C8"/>
    <w:rsid w:val="00FB287D"/>
    <w:rsid w:val="00FB37BD"/>
    <w:rsid w:val="00FB59ED"/>
    <w:rsid w:val="00FB687E"/>
    <w:rsid w:val="00FC048A"/>
    <w:rsid w:val="00FC1655"/>
    <w:rsid w:val="00FC1C5C"/>
    <w:rsid w:val="00FC2A0F"/>
    <w:rsid w:val="00FC3391"/>
    <w:rsid w:val="00FC40D7"/>
    <w:rsid w:val="00FC4EAF"/>
    <w:rsid w:val="00FC54F5"/>
    <w:rsid w:val="00FC5F79"/>
    <w:rsid w:val="00FC6577"/>
    <w:rsid w:val="00FD03D6"/>
    <w:rsid w:val="00FD3602"/>
    <w:rsid w:val="00FD62FD"/>
    <w:rsid w:val="00FD7AED"/>
    <w:rsid w:val="00FE17E2"/>
    <w:rsid w:val="00FE216A"/>
    <w:rsid w:val="00FE2A9D"/>
    <w:rsid w:val="00FE4A35"/>
    <w:rsid w:val="00FE507B"/>
    <w:rsid w:val="00FE602E"/>
    <w:rsid w:val="00FE6046"/>
    <w:rsid w:val="00FE63BA"/>
    <w:rsid w:val="00FE6C08"/>
    <w:rsid w:val="00FE76C6"/>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character" w:styleId="UnresolvedMention">
    <w:name w:val="Unresolved Mention"/>
    <w:basedOn w:val="DefaultParagraphFont"/>
    <w:uiPriority w:val="99"/>
    <w:semiHidden/>
    <w:unhideWhenUsed/>
    <w:rsid w:val="000942BF"/>
    <w:rPr>
      <w:color w:val="605E5C"/>
      <w:shd w:val="clear" w:color="auto" w:fill="E1DFDD"/>
    </w:rPr>
  </w:style>
  <w:style w:type="table" w:customStyle="1" w:styleId="Style1">
    <w:name w:val="Style1"/>
    <w:basedOn w:val="TableNormal"/>
    <w:uiPriority w:val="99"/>
    <w:rsid w:val="003C7F2F"/>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4198381">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62107647">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0585108">
      <w:bodyDiv w:val="1"/>
      <w:marLeft w:val="0"/>
      <w:marRight w:val="0"/>
      <w:marTop w:val="0"/>
      <w:marBottom w:val="0"/>
      <w:divBdr>
        <w:top w:val="none" w:sz="0" w:space="0" w:color="auto"/>
        <w:left w:val="none" w:sz="0" w:space="0" w:color="auto"/>
        <w:bottom w:val="none" w:sz="0" w:space="0" w:color="auto"/>
        <w:right w:val="none" w:sz="0" w:space="0" w:color="auto"/>
      </w:divBdr>
    </w:div>
    <w:div w:id="809437945">
      <w:bodyDiv w:val="1"/>
      <w:marLeft w:val="0"/>
      <w:marRight w:val="0"/>
      <w:marTop w:val="0"/>
      <w:marBottom w:val="0"/>
      <w:divBdr>
        <w:top w:val="none" w:sz="0" w:space="0" w:color="auto"/>
        <w:left w:val="none" w:sz="0" w:space="0" w:color="auto"/>
        <w:bottom w:val="none" w:sz="0" w:space="0" w:color="auto"/>
        <w:right w:val="none" w:sz="0" w:space="0" w:color="auto"/>
      </w:divBdr>
    </w:div>
    <w:div w:id="814100048">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87087385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8556144">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8019350">
      <w:bodyDiv w:val="1"/>
      <w:marLeft w:val="0"/>
      <w:marRight w:val="0"/>
      <w:marTop w:val="0"/>
      <w:marBottom w:val="0"/>
      <w:divBdr>
        <w:top w:val="none" w:sz="0" w:space="0" w:color="auto"/>
        <w:left w:val="none" w:sz="0" w:space="0" w:color="auto"/>
        <w:bottom w:val="none" w:sz="0" w:space="0" w:color="auto"/>
        <w:right w:val="none" w:sz="0" w:space="0" w:color="auto"/>
      </w:divBdr>
    </w:div>
    <w:div w:id="10696913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04639811">
      <w:bodyDiv w:val="1"/>
      <w:marLeft w:val="0"/>
      <w:marRight w:val="0"/>
      <w:marTop w:val="0"/>
      <w:marBottom w:val="0"/>
      <w:divBdr>
        <w:top w:val="none" w:sz="0" w:space="0" w:color="auto"/>
        <w:left w:val="none" w:sz="0" w:space="0" w:color="auto"/>
        <w:bottom w:val="none" w:sz="0" w:space="0" w:color="auto"/>
        <w:right w:val="none" w:sz="0" w:space="0" w:color="auto"/>
      </w:divBdr>
    </w:div>
    <w:div w:id="1209880708">
      <w:bodyDiv w:val="1"/>
      <w:marLeft w:val="0"/>
      <w:marRight w:val="0"/>
      <w:marTop w:val="0"/>
      <w:marBottom w:val="0"/>
      <w:divBdr>
        <w:top w:val="none" w:sz="0" w:space="0" w:color="auto"/>
        <w:left w:val="none" w:sz="0" w:space="0" w:color="auto"/>
        <w:bottom w:val="none" w:sz="0" w:space="0" w:color="auto"/>
        <w:right w:val="none" w:sz="0" w:space="0" w:color="auto"/>
      </w:divBdr>
    </w:div>
    <w:div w:id="1217204359">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387410492">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270644">
      <w:bodyDiv w:val="1"/>
      <w:marLeft w:val="0"/>
      <w:marRight w:val="0"/>
      <w:marTop w:val="0"/>
      <w:marBottom w:val="0"/>
      <w:divBdr>
        <w:top w:val="none" w:sz="0" w:space="0" w:color="auto"/>
        <w:left w:val="none" w:sz="0" w:space="0" w:color="auto"/>
        <w:bottom w:val="none" w:sz="0" w:space="0" w:color="auto"/>
        <w:right w:val="none" w:sz="0" w:space="0" w:color="auto"/>
      </w:divBdr>
    </w:div>
    <w:div w:id="1581015720">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31212473">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1989432834">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029256755">
      <w:bodyDiv w:val="1"/>
      <w:marLeft w:val="0"/>
      <w:marRight w:val="0"/>
      <w:marTop w:val="0"/>
      <w:marBottom w:val="0"/>
      <w:divBdr>
        <w:top w:val="none" w:sz="0" w:space="0" w:color="auto"/>
        <w:left w:val="none" w:sz="0" w:space="0" w:color="auto"/>
        <w:bottom w:val="none" w:sz="0" w:space="0" w:color="auto"/>
        <w:right w:val="none" w:sz="0" w:space="0" w:color="auto"/>
      </w:divBdr>
    </w:div>
    <w:div w:id="2034265365">
      <w:bodyDiv w:val="1"/>
      <w:marLeft w:val="0"/>
      <w:marRight w:val="0"/>
      <w:marTop w:val="0"/>
      <w:marBottom w:val="0"/>
      <w:divBdr>
        <w:top w:val="none" w:sz="0" w:space="0" w:color="auto"/>
        <w:left w:val="none" w:sz="0" w:space="0" w:color="auto"/>
        <w:bottom w:val="none" w:sz="0" w:space="0" w:color="auto"/>
        <w:right w:val="none" w:sz="0" w:space="0" w:color="auto"/>
      </w:divBdr>
    </w:div>
    <w:div w:id="2086223712">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 w:id="21384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moderngov.harrow.gov.uk/documents/s175282/Final%20Budget%20Report%20February%20Cabinet%20-3-2-202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aniels@harrow.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e5a9eb36-442d-4659-a17a-61b98045b59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B4176EC48F1C84BB69FD160165C16D7" ma:contentTypeVersion="8" ma:contentTypeDescription="Create a new document." ma:contentTypeScope="" ma:versionID="7e5352d29bf08b3765d0e528ec81e30b">
  <xsd:schema xmlns:xsd="http://www.w3.org/2001/XMLSchema" xmlns:xs="http://www.w3.org/2001/XMLSchema" xmlns:p="http://schemas.microsoft.com/office/2006/metadata/properties" xmlns:ns3="e5a9eb36-442d-4659-a17a-61b98045b592" targetNamespace="http://schemas.microsoft.com/office/2006/metadata/properties" ma:root="true" ma:fieldsID="38d1d1c4dea9d26f5dbf03913d2f6524" ns3:_="">
    <xsd:import namespace="e5a9eb36-442d-4659-a17a-61b98045b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9eb36-442d-4659-a17a-61b98045b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847133AE-F669-4754-B798-9E931BA27058}">
  <ds:schemaRefs>
    <ds:schemaRef ds:uri="http://schemas.openxmlformats.org/officeDocument/2006/bibliography"/>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5a9eb36-442d-4659-a17a-61b98045b592"/>
  </ds:schemaRefs>
</ds:datastoreItem>
</file>

<file path=customXml/itemProps5.xml><?xml version="1.0" encoding="utf-8"?>
<ds:datastoreItem xmlns:ds="http://schemas.openxmlformats.org/officeDocument/2006/customXml" ds:itemID="{EDFD6373-8E6B-4095-B133-40160E098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9eb36-442d-4659-a17a-61b98045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7928</Words>
  <Characters>41968</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49797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4</cp:revision>
  <cp:lastPrinted>2019-09-02T07:18:00Z</cp:lastPrinted>
  <dcterms:created xsi:type="dcterms:W3CDTF">2023-07-19T06:57:00Z</dcterms:created>
  <dcterms:modified xsi:type="dcterms:W3CDTF">2023-07-19T09:23:00Z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0x0101003B4176EC48F1C84BB69FD160165C16D7</vt:lpwstr>
  </property>
  <property fmtid="{D5CDD505-2E9C-101B-9397-08002B2CF9AE}" pid="3" name="TaxKeyword">
    <vt:lpwstr>198;#Cabinet Report Template|b79b58f4-03f4-47dd-bec7-7bae4bc4af23</vt:lpwstr>
  </property>
</Properties>
</file>